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227330</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247015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w:t>
      </w: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Date of Report (Date of earliest event reported): November 7,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234315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EIGER BIOPHARMACEUTICALS,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236220</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40"/>
          </w:cols>
          <w:pgMar w:left="440" w:top="368" w:right="41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080"/>
        <w:spacing w:after="0"/>
        <w:rPr>
          <w:sz w:val="20"/>
          <w:szCs w:val="20"/>
          <w:color w:val="auto"/>
        </w:rPr>
      </w:pPr>
      <w:r>
        <w:rPr>
          <w:rFonts w:ascii="Arial" w:cs="Arial" w:eastAsia="Arial" w:hAnsi="Arial"/>
          <w:sz w:val="16"/>
          <w:szCs w:val="16"/>
          <w:b w:val="1"/>
          <w:bCs w:val="1"/>
          <w:color w:val="auto"/>
        </w:rPr>
        <w:t>001-36183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33-0971591</w:t>
      </w:r>
    </w:p>
    <w:p>
      <w:pPr>
        <w:spacing w:after="0" w:line="31" w:lineRule="exact"/>
        <w:rPr>
          <w:sz w:val="24"/>
          <w:szCs w:val="24"/>
          <w:color w:val="auto"/>
        </w:rPr>
      </w:pPr>
    </w:p>
    <w:p>
      <w:pPr>
        <w:sectPr>
          <w:pgSz w:w="11900" w:h="16838" w:orient="portrait"/>
          <w:cols w:equalWidth="0" w:num="3">
            <w:col w:w="4520" w:space="720"/>
            <w:col w:w="2860" w:space="720"/>
            <w:col w:w="2220"/>
          </w:cols>
          <w:pgMar w:left="440" w:top="368" w:right="419" w:bottom="1440" w:gutter="0" w:footer="0" w:header="0"/>
          <w:type w:val="continuous"/>
        </w:sectPr>
      </w:pPr>
    </w:p>
    <w:p>
      <w:pPr>
        <w:spacing w:after="0" w:line="12" w:lineRule="exact"/>
        <w:rPr>
          <w:sz w:val="24"/>
          <w:szCs w:val="24"/>
          <w:color w:val="auto"/>
        </w:rPr>
      </w:pPr>
    </w:p>
    <w:p>
      <w:pPr>
        <w:jc w:val="center"/>
        <w:ind w:right="740"/>
        <w:spacing w:after="0"/>
        <w:rPr>
          <w:sz w:val="20"/>
          <w:szCs w:val="20"/>
          <w:color w:val="auto"/>
        </w:rPr>
      </w:pPr>
      <w:r>
        <w:rPr>
          <w:rFonts w:ascii="Arial" w:cs="Arial" w:eastAsia="Arial" w:hAnsi="Arial"/>
          <w:sz w:val="13"/>
          <w:szCs w:val="13"/>
          <w:b w:val="1"/>
          <w:bCs w:val="1"/>
          <w:color w:val="auto"/>
        </w:rPr>
        <w:t>(State or other jurisdiction</w:t>
      </w:r>
    </w:p>
    <w:p>
      <w:pPr>
        <w:jc w:val="center"/>
        <w:ind w:right="74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20"/>
        <w:spacing w:after="0"/>
        <w:rPr>
          <w:sz w:val="20"/>
          <w:szCs w:val="20"/>
          <w:color w:val="auto"/>
        </w:rPr>
      </w:pPr>
      <w:r>
        <w:rPr>
          <w:rFonts w:ascii="Arial" w:cs="Arial" w:eastAsia="Arial" w:hAnsi="Arial"/>
          <w:sz w:val="14"/>
          <w:szCs w:val="14"/>
          <w:b w:val="1"/>
          <w:bCs w:val="1"/>
          <w:color w:val="auto"/>
        </w:rPr>
        <w:t>(IRS Employer</w:t>
      </w:r>
    </w:p>
    <w:p>
      <w:pPr>
        <w:jc w:val="center"/>
        <w:ind w:right="122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500" w:space="720"/>
            <w:col w:w="2760" w:space="720"/>
            <w:col w:w="2340"/>
          </w:cols>
          <w:pgMar w:left="440" w:top="368" w:right="419" w:bottom="1440" w:gutter="0" w:footer="0" w:header="0"/>
          <w:type w:val="continuous"/>
        </w:sectPr>
      </w:pP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2155 Park Blvd.</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Palo Alto, California 94306</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(Address of principal executive offices, including zip code)</w:t>
      </w:r>
    </w:p>
    <w:p>
      <w:pPr>
        <w:spacing w:after="0" w:line="20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(650) 272-6138</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2"/>
          <w:szCs w:val="12"/>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242570</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40"/>
          </w:cols>
          <w:pgMar w:left="440" w:top="368" w:right="419" w:bottom="1440" w:gutter="0" w:footer="0" w:header="0"/>
          <w:type w:val="continuous"/>
        </w:sectPr>
      </w:pPr>
    </w:p>
    <w:p>
      <w:pPr>
        <w:spacing w:after="0" w:line="200" w:lineRule="exact"/>
        <w:rPr>
          <w:sz w:val="24"/>
          <w:szCs w:val="24"/>
          <w:color w:val="auto"/>
        </w:rPr>
      </w:pPr>
    </w:p>
    <w:p>
      <w:pPr>
        <w:spacing w:after="0" w:line="397" w:lineRule="exact"/>
        <w:rPr>
          <w:sz w:val="24"/>
          <w:szCs w:val="24"/>
          <w:color w:val="auto"/>
        </w:rPr>
      </w:pPr>
    </w:p>
    <w:p>
      <w:pPr>
        <w:ind w:right="40" w:firstLine="441"/>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31"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7"/>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0"/>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0"/>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Common Stock (par value $0.001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EIGR</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4"/>
              </w:rPr>
              <w:t>The Nasdaq Stock Market LLC</w:t>
            </w:r>
          </w:p>
        </w:tc>
        <w:tc>
          <w:tcPr>
            <w:tcW w:w="0" w:type="dxa"/>
            <w:vAlign w:val="bottom"/>
          </w:tcPr>
          <w:p>
            <w:pPr>
              <w:spacing w:after="0"/>
              <w:rPr>
                <w:sz w:val="1"/>
                <w:szCs w:val="1"/>
                <w:color w:val="auto"/>
              </w:rPr>
            </w:pPr>
          </w:p>
        </w:tc>
      </w:tr>
    </w:tbl>
    <w:p>
      <w:pPr>
        <w:spacing w:after="0" w:line="183" w:lineRule="exact"/>
        <w:rPr>
          <w:sz w:val="24"/>
          <w:szCs w:val="24"/>
          <w:color w:val="auto"/>
        </w:rPr>
      </w:pPr>
    </w:p>
    <w:p>
      <w:pPr>
        <w:ind w:right="3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8800"/>
        <w:spacing w:after="0" w:line="196" w:lineRule="exact"/>
        <w:rPr>
          <w:sz w:val="20"/>
          <w:szCs w:val="20"/>
          <w:color w:val="auto"/>
        </w:rPr>
      </w:pPr>
      <w:r>
        <w:rPr>
          <w:rFonts w:ascii="Arial" w:cs="Arial" w:eastAsia="Arial" w:hAnsi="Arial"/>
          <w:sz w:val="17"/>
          <w:szCs w:val="17"/>
          <w:color w:val="auto"/>
        </w:rPr>
        <w:t xml:space="preserve">Emerging growth company </w:t>
      </w:r>
      <w:r>
        <w:rPr>
          <w:rFonts w:ascii="MS PGothic" w:cs="MS PGothic" w:eastAsia="MS PGothic" w:hAnsi="MS PGothic"/>
          <w:sz w:val="17"/>
          <w:szCs w:val="17"/>
          <w:color w:val="auto"/>
        </w:rPr>
        <w:t>☒</w:t>
      </w:r>
    </w:p>
    <w:p>
      <w:pPr>
        <w:spacing w:after="0" w:line="269" w:lineRule="exact"/>
        <w:rPr>
          <w:sz w:val="24"/>
          <w:szCs w:val="24"/>
          <w:color w:val="auto"/>
        </w:rPr>
      </w:pPr>
    </w:p>
    <w:p>
      <w:pPr>
        <w:ind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133350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176530</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040"/>
          </w:cols>
          <w:pgMar w:left="440" w:top="368" w:right="419" w:bottom="1440" w:gutter="0" w:footer="0" w:header="0"/>
          <w:type w:val="continuous"/>
        </w:sectPr>
      </w:pPr>
    </w:p>
    <w:bookmarkStart w:id="1" w:name="page2"/>
    <w:bookmarkEnd w:id="1"/>
    <w:p>
      <w:pPr>
        <w:spacing w:after="0"/>
        <w:tabs>
          <w:tab w:leader="none" w:pos="130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jc w:val="both"/>
        <w:ind w:right="120" w:firstLine="992"/>
        <w:spacing w:after="0" w:line="264" w:lineRule="auto"/>
        <w:rPr>
          <w:sz w:val="20"/>
          <w:szCs w:val="20"/>
          <w:color w:val="auto"/>
        </w:rPr>
      </w:pPr>
      <w:r>
        <w:rPr>
          <w:rFonts w:ascii="Arial" w:cs="Arial" w:eastAsia="Arial" w:hAnsi="Arial"/>
          <w:sz w:val="18"/>
          <w:szCs w:val="18"/>
          <w:color w:val="auto"/>
        </w:rPr>
        <w:t>On November 7, 2019, Eiger BioPharmaceuticals, Inc. reported its financial results for the quarter ended September 30, 2019. A copy of the press release titled “Eiger BioPharmaceuticals Reports Third Quarter 2019 Financial Results and Provides Business Update,” is furnished pursuant to Item 2.02 as Exhibit 99.1 hereto and is incorporated herein by reference.</w:t>
      </w:r>
    </w:p>
    <w:p>
      <w:pPr>
        <w:spacing w:after="0" w:line="181" w:lineRule="exact"/>
        <w:rPr>
          <w:sz w:val="20"/>
          <w:szCs w:val="20"/>
          <w:color w:val="auto"/>
        </w:rPr>
      </w:pPr>
    </w:p>
    <w:p>
      <w:pPr>
        <w:ind w:firstLine="992"/>
        <w:spacing w:after="0" w:line="297" w:lineRule="auto"/>
        <w:rPr>
          <w:sz w:val="20"/>
          <w:szCs w:val="20"/>
          <w:color w:val="auto"/>
        </w:rPr>
      </w:pPr>
      <w:r>
        <w:rPr>
          <w:rFonts w:ascii="Arial" w:cs="Arial" w:eastAsia="Arial" w:hAnsi="Arial"/>
          <w:sz w:val="16"/>
          <w:szCs w:val="16"/>
          <w:color w:val="auto"/>
        </w:rPr>
        <w:t>The information in this item 2.02 and in the press release attached as Exhibit 99.1 to this Current Report on Form 8-K shall not be deemed to be “filed” for purposes of Section 18 of the Securities Exchange Act of 1934, as amended, or otherwise subject to the liabilities of that Section 11 and 12(a)(2) of the Securities Act of 1933, as amended. The information in this item 2.02 and in the press release attached as Exhibit 99.1 to this Current Report on Form 8-K shall not be incorporated by reference into any filing with the U.S. Securities and Exchange Commission made by Eiger BioPharmaceuticals, Inc., whether made before or after the date hereof, regardless of any general incorporation language in such filing.</w:t>
      </w:r>
    </w:p>
    <w:p>
      <w:pPr>
        <w:spacing w:after="0" w:line="303" w:lineRule="exact"/>
        <w:rPr>
          <w:sz w:val="20"/>
          <w:szCs w:val="20"/>
          <w:color w:val="auto"/>
        </w:rPr>
      </w:pPr>
    </w:p>
    <w:p>
      <w:pPr>
        <w:spacing w:after="0"/>
        <w:tabs>
          <w:tab w:leader="none" w:pos="130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0" w:type="dxa"/>
            <w:vAlign w:val="bottom"/>
          </w:tcPr>
          <w:p>
            <w:pPr>
              <w:jc w:val="center"/>
              <w:spacing w:after="0"/>
              <w:rPr>
                <w:sz w:val="20"/>
                <w:szCs w:val="20"/>
                <w:color w:val="auto"/>
              </w:rPr>
            </w:pPr>
            <w:r>
              <w:rPr>
                <w:rFonts w:ascii="Arial" w:cs="Arial" w:eastAsia="Arial" w:hAnsi="Arial"/>
                <w:sz w:val="14"/>
                <w:szCs w:val="14"/>
                <w:b w:val="1"/>
                <w:bCs w:val="1"/>
                <w:color w:val="auto"/>
                <w:w w:val="94"/>
              </w:rPr>
              <w:t>Exhibit</w:t>
            </w:r>
          </w:p>
        </w:tc>
        <w:tc>
          <w:tcPr>
            <w:tcW w:w="5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8240" w:type="dxa"/>
            <w:vAlign w:val="bottom"/>
            <w:gridSpan w:val="3"/>
            <w:vMerge w:val="restart"/>
          </w:tcPr>
          <w:p>
            <w:pPr>
              <w:ind w:left="330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00" w:type="dxa"/>
            <w:vAlign w:val="bottom"/>
          </w:tcPr>
          <w:p>
            <w:pPr>
              <w:jc w:val="center"/>
              <w:spacing w:after="0"/>
              <w:rPr>
                <w:sz w:val="20"/>
                <w:szCs w:val="20"/>
                <w:color w:val="auto"/>
              </w:rPr>
            </w:pPr>
            <w:r>
              <w:rPr>
                <w:rFonts w:ascii="Arial" w:cs="Arial" w:eastAsia="Arial" w:hAnsi="Arial"/>
                <w:sz w:val="14"/>
                <w:szCs w:val="14"/>
                <w:b w:val="1"/>
                <w:bCs w:val="1"/>
                <w:color w:val="auto"/>
                <w:w w:val="88"/>
              </w:rPr>
              <w:t>No.</w:t>
            </w:r>
          </w:p>
        </w:tc>
        <w:tc>
          <w:tcPr>
            <w:tcW w:w="5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82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520" w:type="dxa"/>
            <w:vAlign w:val="bottom"/>
            <w:gridSpan w:val="2"/>
          </w:tcPr>
          <w:p>
            <w:pPr>
              <w:jc w:val="right"/>
              <w:ind w:right="128"/>
              <w:spacing w:after="0"/>
              <w:rPr>
                <w:sz w:val="20"/>
                <w:szCs w:val="20"/>
                <w:color w:val="auto"/>
              </w:rPr>
            </w:pPr>
            <w:r>
              <w:rPr>
                <w:rFonts w:ascii="Arial" w:cs="Arial" w:eastAsia="Arial" w:hAnsi="Arial"/>
                <w:sz w:val="18"/>
                <w:szCs w:val="18"/>
                <w:color w:val="auto"/>
                <w:w w:val="85"/>
              </w:rPr>
              <w:t>99.1</w:t>
            </w:r>
          </w:p>
        </w:tc>
        <w:tc>
          <w:tcPr>
            <w:tcW w:w="520" w:type="dxa"/>
            <w:vAlign w:val="bottom"/>
          </w:tcPr>
          <w:p>
            <w:pPr>
              <w:spacing w:after="0"/>
              <w:rPr>
                <w:sz w:val="24"/>
                <w:szCs w:val="24"/>
                <w:color w:val="auto"/>
              </w:rPr>
            </w:pPr>
          </w:p>
        </w:tc>
        <w:tc>
          <w:tcPr>
            <w:tcW w:w="9580" w:type="dxa"/>
            <w:vAlign w:val="bottom"/>
            <w:tcBorders>
              <w:bottom w:val="single" w:sz="8" w:color="0000EE"/>
            </w:tcBorders>
            <w:gridSpan w:val="4"/>
          </w:tcPr>
          <w:p>
            <w:pPr>
              <w:spacing w:after="0"/>
              <w:rPr>
                <w:rFonts w:ascii="Arial" w:cs="Arial" w:eastAsia="Arial" w:hAnsi="Arial"/>
                <w:sz w:val="18"/>
                <w:szCs w:val="18"/>
                <w:color w:val="0000EE"/>
                <w:w w:val="90"/>
              </w:rPr>
            </w:pPr>
            <w:hyperlink w:anchor="page4">
              <w:r>
                <w:rPr>
                  <w:rFonts w:ascii="Arial" w:cs="Arial" w:eastAsia="Arial" w:hAnsi="Arial"/>
                  <w:sz w:val="18"/>
                  <w:szCs w:val="18"/>
                  <w:color w:val="0000EE"/>
                  <w:w w:val="90"/>
                </w:rPr>
                <w:t>Press release, dated November 7, 2019, titled “Eiger BioPharmaceuticals Reports Third Quarter 2019 Financial Results and Provides</w:t>
              </w:r>
            </w:hyperlink>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340" w:type="dxa"/>
            <w:vAlign w:val="bottom"/>
            <w:tcBorders>
              <w:bottom w:val="single" w:sz="8" w:color="0000EE"/>
            </w:tcBorders>
          </w:tcPr>
          <w:p>
            <w:pPr>
              <w:spacing w:after="0" w:line="196" w:lineRule="exact"/>
              <w:rPr>
                <w:rFonts w:ascii="Arial" w:cs="Arial" w:eastAsia="Arial" w:hAnsi="Arial"/>
                <w:sz w:val="18"/>
                <w:szCs w:val="18"/>
                <w:color w:val="0000EE"/>
                <w:w w:val="89"/>
              </w:rPr>
            </w:pPr>
            <w:hyperlink w:anchor="page4">
              <w:r>
                <w:rPr>
                  <w:rFonts w:ascii="Arial" w:cs="Arial" w:eastAsia="Arial" w:hAnsi="Arial"/>
                  <w:sz w:val="18"/>
                  <w:szCs w:val="18"/>
                  <w:color w:val="0000EE"/>
                  <w:w w:val="89"/>
                </w:rPr>
                <w:t>Business Update.”</w:t>
              </w:r>
            </w:hyperlink>
          </w:p>
        </w:tc>
        <w:tc>
          <w:tcPr>
            <w:tcW w:w="824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0960"/>
          </w:cols>
          <w:pgMar w:left="440" w:top="270" w:right="499" w:bottom="1440" w:gutter="0" w:footer="0" w:header="0"/>
        </w:sectPr>
      </w:pPr>
    </w:p>
    <w:bookmarkStart w:id="2" w:name="page3"/>
    <w:bookmarkEnd w:id="2"/>
    <w:p>
      <w:pPr>
        <w:jc w:val="center"/>
        <w:ind w:right="-2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Eiger BioPharmaceuticals, Inc.</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Dated: November 7, 2019</w:t>
      </w:r>
    </w:p>
    <w:p>
      <w:pPr>
        <w:spacing w:after="0" w:line="117" w:lineRule="exact"/>
        <w:rPr>
          <w:sz w:val="20"/>
          <w:szCs w:val="20"/>
          <w:color w:val="auto"/>
        </w:rPr>
      </w:pPr>
    </w:p>
    <w:p>
      <w:pPr>
        <w:ind w:left="5640"/>
        <w:spacing w:after="0"/>
        <w:tabs>
          <w:tab w:leader="none" w:pos="60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Sriram Ryali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3856990</wp:posOffset>
            </wp:positionH>
            <wp:positionV relativeFrom="paragraph">
              <wp:posOffset>14605</wp:posOffset>
            </wp:positionV>
            <wp:extent cx="314706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47060" cy="8890"/>
                    </a:xfrm>
                    <a:prstGeom prst="rect">
                      <a:avLst/>
                    </a:prstGeom>
                    <a:noFill/>
                  </pic:spPr>
                </pic:pic>
              </a:graphicData>
            </a:graphic>
          </wp:anchor>
        </w:drawing>
      </w:r>
    </w:p>
    <w:p>
      <w:pPr>
        <w:spacing w:after="0" w:line="30"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Sriram Ryali</w:t>
      </w:r>
    </w:p>
    <w:p>
      <w:pPr>
        <w:spacing w:after="0" w:line="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0780"/>
          </w:cols>
          <w:pgMar w:left="440" w:top="270" w:right="67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Eiger BioPharmaceuticals Reports Third Quarter 2019 Financial Results and Provides Business Update</w:t>
      </w:r>
    </w:p>
    <w:p>
      <w:pPr>
        <w:spacing w:after="0" w:line="135" w:lineRule="exact"/>
        <w:rPr>
          <w:sz w:val="20"/>
          <w:szCs w:val="20"/>
          <w:color w:val="auto"/>
        </w:rPr>
      </w:pPr>
    </w:p>
    <w:p>
      <w:pPr>
        <w:ind w:left="440" w:hanging="328"/>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Successful Pre-NDA and Pre-MAA Meetings for Progeria &amp; Progeroid Laminopathies</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Positive Phase 2 LIFT Lambda Combo Data as Late-Breaker at AASLD</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First-Ever Phase 3 HDV International D-LIVR Study Enrolling and Dosing</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Strong Balance Sheet with $109.9M in Cash &amp; Investments</w:t>
      </w:r>
    </w:p>
    <w:p>
      <w:pPr>
        <w:spacing w:after="0" w:line="221" w:lineRule="exact"/>
        <w:rPr>
          <w:sz w:val="20"/>
          <w:szCs w:val="20"/>
          <w:color w:val="auto"/>
        </w:rPr>
      </w:pPr>
    </w:p>
    <w:p>
      <w:pPr>
        <w:ind w:right="200"/>
        <w:spacing w:after="0" w:line="266" w:lineRule="auto"/>
        <w:rPr>
          <w:sz w:val="20"/>
          <w:szCs w:val="20"/>
          <w:color w:val="auto"/>
        </w:rPr>
      </w:pPr>
      <w:r>
        <w:rPr>
          <w:rFonts w:ascii="Arial" w:cs="Arial" w:eastAsia="Arial" w:hAnsi="Arial"/>
          <w:sz w:val="18"/>
          <w:szCs w:val="18"/>
          <w:b w:val="1"/>
          <w:bCs w:val="1"/>
          <w:color w:val="auto"/>
        </w:rPr>
        <w:t xml:space="preserve">PALO ALTO, Calif., November 7, 2019 </w:t>
      </w:r>
      <w:r>
        <w:rPr>
          <w:rFonts w:ascii="Arial" w:cs="Arial" w:eastAsia="Arial" w:hAnsi="Arial"/>
          <w:sz w:val="18"/>
          <w:szCs w:val="18"/>
          <w:color w:val="auto"/>
        </w:rPr>
        <w:t>— Eiger BioPharmaceuticals, Inc. (Nasdaq:EIGR), focused on the development and commercialization of</w:t>
      </w:r>
      <w:r>
        <w:rPr>
          <w:rFonts w:ascii="Arial" w:cs="Arial" w:eastAsia="Arial" w:hAnsi="Arial"/>
          <w:sz w:val="18"/>
          <w:szCs w:val="18"/>
          <w:b w:val="1"/>
          <w:bCs w:val="1"/>
          <w:color w:val="auto"/>
        </w:rPr>
        <w:t xml:space="preserve"> </w:t>
      </w:r>
      <w:r>
        <w:rPr>
          <w:rFonts w:ascii="Arial" w:cs="Arial" w:eastAsia="Arial" w:hAnsi="Arial"/>
          <w:sz w:val="18"/>
          <w:szCs w:val="18"/>
          <w:color w:val="auto"/>
        </w:rPr>
        <w:t>targeted therapies for serious rare and ultra-rare diseases, today reported financial results for the three and nine months ended September 30, 2019 and provided a business update.</w:t>
      </w:r>
    </w:p>
    <w:p>
      <w:pPr>
        <w:spacing w:after="0" w:line="180"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color w:val="auto"/>
        </w:rPr>
        <w:t>“We are advancing four Breakthrough Therapy Designation programs into late stages, all with first-in-class therapies targeting rare diseases with no approved treatments,” said David Cory, Eiger President and CEO. “We recently completed successful pre-NDA and pre-MAA meetings with both FDA and EMA for Progeria and Progeroid Laminopathies and plan to submit an NDA by year-end. We recently announced positive results from the HDV lambda and lonafarnib combination LIFT study, which will be presented as an oral late-breaker at AASLD. Our Phase 3 HDV global D-LIVR study continues to activate sites, enroll and dose patients. We look forward to updating on continued progress in the future.”</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Recent Highlights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Lonafarnib in Progeria and Progeroid Laminopathies</w:t>
      </w:r>
    </w:p>
    <w:p>
      <w:pPr>
        <w:spacing w:after="0" w:line="131" w:lineRule="exact"/>
        <w:rPr>
          <w:sz w:val="20"/>
          <w:szCs w:val="20"/>
          <w:color w:val="auto"/>
        </w:rPr>
      </w:pPr>
    </w:p>
    <w:p>
      <w:pPr>
        <w:ind w:left="440" w:hanging="328"/>
        <w:spacing w:after="0"/>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Positive pre-NDA meeting with FDA</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Positive pre-MAA meeting with EMA</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Peginterferon Lambda (lambda) in Hepatitis D Virus (HDV)</w:t>
      </w:r>
    </w:p>
    <w:p>
      <w:pPr>
        <w:spacing w:after="0" w:line="131" w:lineRule="exact"/>
        <w:rPr>
          <w:sz w:val="20"/>
          <w:szCs w:val="20"/>
          <w:color w:val="auto"/>
        </w:rPr>
      </w:pPr>
    </w:p>
    <w:p>
      <w:pPr>
        <w:ind w:left="440" w:right="120" w:hanging="328"/>
        <w:spacing w:after="0" w:line="277" w:lineRule="auto"/>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Late-breaking oral presentation of positive Phase 2 LIFT (lambda + lonafarnib boosted with ritonavir) interim end-of-treatment results accepted for AASLD</w:t>
      </w:r>
    </w:p>
    <w:p>
      <w:pPr>
        <w:spacing w:after="0" w:line="75" w:lineRule="exact"/>
        <w:rPr>
          <w:rFonts w:ascii="Arial" w:cs="Arial" w:eastAsia="Arial" w:hAnsi="Arial"/>
          <w:sz w:val="18"/>
          <w:szCs w:val="18"/>
          <w:color w:val="auto"/>
        </w:rPr>
      </w:pPr>
    </w:p>
    <w:p>
      <w:pPr>
        <w:ind w:left="980" w:hanging="436"/>
        <w:spacing w:after="0"/>
        <w:tabs>
          <w:tab w:leader="none" w:pos="980" w:val="left"/>
        </w:tabs>
        <w:numPr>
          <w:ilvl w:val="1"/>
          <w:numId w:val="4"/>
        </w:numPr>
        <w:rPr>
          <w:rFonts w:ascii="Arial" w:cs="Arial" w:eastAsia="Arial" w:hAnsi="Arial"/>
          <w:sz w:val="18"/>
          <w:szCs w:val="18"/>
          <w:color w:val="auto"/>
        </w:rPr>
      </w:pPr>
      <w:r>
        <w:rPr>
          <w:rFonts w:ascii="Arial" w:cs="Arial" w:eastAsia="Arial" w:hAnsi="Arial"/>
          <w:sz w:val="18"/>
          <w:szCs w:val="18"/>
          <w:i w:val="1"/>
          <w:iCs w:val="1"/>
          <w:color w:val="auto"/>
        </w:rPr>
        <w:t>95% of patients achieved primary endpoint of &gt;2 log reduction in HDV RNA</w:t>
      </w:r>
    </w:p>
    <w:p>
      <w:pPr>
        <w:spacing w:after="0" w:line="130" w:lineRule="exact"/>
        <w:rPr>
          <w:rFonts w:ascii="Arial" w:cs="Arial" w:eastAsia="Arial" w:hAnsi="Arial"/>
          <w:sz w:val="18"/>
          <w:szCs w:val="18"/>
          <w:color w:val="auto"/>
        </w:rPr>
      </w:pPr>
    </w:p>
    <w:p>
      <w:pPr>
        <w:ind w:left="980" w:hanging="436"/>
        <w:spacing w:after="0"/>
        <w:tabs>
          <w:tab w:leader="none" w:pos="980" w:val="left"/>
        </w:tabs>
        <w:numPr>
          <w:ilvl w:val="1"/>
          <w:numId w:val="4"/>
        </w:numPr>
        <w:rPr>
          <w:rFonts w:ascii="Arial" w:cs="Arial" w:eastAsia="Arial" w:hAnsi="Arial"/>
          <w:sz w:val="18"/>
          <w:szCs w:val="18"/>
          <w:color w:val="auto"/>
        </w:rPr>
      </w:pPr>
      <w:r>
        <w:rPr>
          <w:rFonts w:ascii="Arial" w:cs="Arial" w:eastAsia="Arial" w:hAnsi="Arial"/>
          <w:sz w:val="18"/>
          <w:szCs w:val="18"/>
          <w:i w:val="1"/>
          <w:iCs w:val="1"/>
          <w:color w:val="auto"/>
        </w:rPr>
        <w:t>&gt;50% of patients were HDV RNA undetectable or BLOQ</w:t>
      </w:r>
    </w:p>
    <w:p>
      <w:pPr>
        <w:spacing w:after="0" w:line="130" w:lineRule="exact"/>
        <w:rPr>
          <w:rFonts w:ascii="Arial" w:cs="Arial" w:eastAsia="Arial" w:hAnsi="Arial"/>
          <w:sz w:val="18"/>
          <w:szCs w:val="18"/>
          <w:color w:val="auto"/>
        </w:rPr>
      </w:pPr>
    </w:p>
    <w:p>
      <w:pPr>
        <w:ind w:left="980" w:hanging="436"/>
        <w:spacing w:after="0"/>
        <w:tabs>
          <w:tab w:leader="none" w:pos="980" w:val="left"/>
        </w:tabs>
        <w:numPr>
          <w:ilvl w:val="1"/>
          <w:numId w:val="4"/>
        </w:numPr>
        <w:rPr>
          <w:rFonts w:ascii="Arial" w:cs="Arial" w:eastAsia="Arial" w:hAnsi="Arial"/>
          <w:sz w:val="18"/>
          <w:szCs w:val="18"/>
          <w:color w:val="auto"/>
        </w:rPr>
      </w:pPr>
      <w:r>
        <w:rPr>
          <w:rFonts w:ascii="Arial" w:cs="Arial" w:eastAsia="Arial" w:hAnsi="Arial"/>
          <w:sz w:val="18"/>
          <w:szCs w:val="18"/>
          <w:i w:val="1"/>
          <w:iCs w:val="1"/>
          <w:color w:val="auto"/>
        </w:rPr>
        <w:t>Adverse events were mostly mild to moderate</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Breakthrough Therapy Designation granted by FDA</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Avexitide in Post-Bariatric Hypoglycemia (PBH)</w:t>
      </w:r>
    </w:p>
    <w:p>
      <w:pPr>
        <w:spacing w:after="0" w:line="131" w:lineRule="exact"/>
        <w:rPr>
          <w:sz w:val="20"/>
          <w:szCs w:val="20"/>
          <w:color w:val="auto"/>
        </w:rPr>
      </w:pPr>
    </w:p>
    <w:p>
      <w:pPr>
        <w:ind w:left="440" w:hanging="328"/>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Positive End of Phase 2 meeting with FDA for avexitide in PBH</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Upcoming Milestones</w:t>
      </w:r>
    </w:p>
    <w:p>
      <w:pPr>
        <w:spacing w:after="0" w:line="135" w:lineRule="exact"/>
        <w:rPr>
          <w:sz w:val="20"/>
          <w:szCs w:val="20"/>
          <w:color w:val="auto"/>
        </w:rPr>
      </w:pPr>
    </w:p>
    <w:p>
      <w:pPr>
        <w:ind w:left="440" w:hanging="328"/>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Oral presentation of Phase 2 LIFT interim end-of-treatment results in HDV at AASLD</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NDA submission for Progeria and Progeroid Laminopathies by year-end, followed by MAA submission in the first quarter of 2020</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Phase 3 D-LIVR study in HDV (N=400) enrollment update after year-end</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End of Phase 2 meeting for lambda monotherapy in HDV in the first quarter of 2020</w:t>
      </w:r>
    </w:p>
    <w:p>
      <w:pPr>
        <w:sectPr>
          <w:pgSz w:w="11900" w:h="16838" w:orient="portrait"/>
          <w:cols w:equalWidth="0" w:num="1">
            <w:col w:w="11020"/>
          </w:cols>
          <w:pgMar w:left="440" w:top="121" w:right="4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Third Quarter 2019 Financial Results</w:t>
      </w:r>
    </w:p>
    <w:p>
      <w:pPr>
        <w:spacing w:after="0" w:line="121"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Cash, cash equivalents, and short-term investments as of September 30, 2019 totaled $109.9 million compared to $125.3 million at June 30, 2019, a decrease of $15.4 million.</w:t>
      </w:r>
    </w:p>
    <w:p>
      <w:pPr>
        <w:spacing w:after="0" w:line="170"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The Company reported a net loss of $18.6 million, or $0.76 per share for third quarter 2019, as compared to $17.1 million, or $1.20 per share, for the same period in 2018.</w:t>
      </w:r>
    </w:p>
    <w:p>
      <w:pPr>
        <w:spacing w:after="0" w:line="170"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Research and Development expenses were $14.1 million for third quarter 2019, as compared to $13.2 million for the same period in 2018, an increase of $0.9 million. The increase was primarily due to employee-related costs, including stock-based compensation, and expenditures related to our clinical programs.</w:t>
      </w:r>
    </w:p>
    <w:p>
      <w:pPr>
        <w:spacing w:after="0" w:line="18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General and Administrative expenses were $4.2 million for third quarter 2019, as compared to $3.6 million for the same period in 2018, an increase of $0.6 million. The increase was primarily due to additional employee-related costs, including stock-based compensation.</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Third quarter 2019 operating expenses include total non-cash expenses of $1.8 million, as compared to $1.5 million for the same period in 2018.</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As of September 30, 2019, Eiger had 24.5 million of common shares outstanding.</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Eiger</w:t>
      </w:r>
    </w:p>
    <w:p>
      <w:pPr>
        <w:spacing w:after="0" w:line="121" w:lineRule="exact"/>
        <w:rPr>
          <w:sz w:val="20"/>
          <w:szCs w:val="20"/>
          <w:color w:val="auto"/>
        </w:rPr>
      </w:pPr>
    </w:p>
    <w:p>
      <w:pPr>
        <w:ind w:right="260"/>
        <w:spacing w:after="0" w:line="342" w:lineRule="auto"/>
        <w:rPr>
          <w:sz w:val="20"/>
          <w:szCs w:val="20"/>
          <w:color w:val="auto"/>
        </w:rPr>
      </w:pPr>
      <w:r>
        <w:rPr>
          <w:rFonts w:ascii="Arial" w:cs="Arial" w:eastAsia="Arial" w:hAnsi="Arial"/>
          <w:sz w:val="16"/>
          <w:szCs w:val="16"/>
          <w:color w:val="auto"/>
        </w:rPr>
        <w:t>Eiger is a late stage biopharmaceutical company focused on the development and commercialization of a pipeline of first-in-class, well-characterized drugs for serious rare and ultra-rare diseases for patients with high unmet medical needs and for which no approved therapies exist.</w:t>
      </w:r>
    </w:p>
    <w:p>
      <w:pPr>
        <w:spacing w:after="0" w:line="124"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 xml:space="preserve">The company’s lead program is in Phase 3, developing lonafarnib, a first-in-class prenylation inhibitor for the treatment of Hepatitis Delta Virus (HDV) infection. The company is rapidly advancing peginterferon lambda, a first-in-class interferon, toward registration for the treatment of HDV. Eiger is preparing an NDA and MAA for lonafarnib to treat Hutchinson-Gilford Progeria Syndrome (HGPS or Progeria) and Progeroid Laminopathies with plans to submit an NDA by year-end 2019, followed by an MAA submission in the first quarter of 2020. For additional information about Eiger and its clinical programs, please visit </w:t>
      </w:r>
      <w:r>
        <w:rPr>
          <w:rFonts w:ascii="Arial" w:cs="Arial" w:eastAsia="Arial" w:hAnsi="Arial"/>
          <w:sz w:val="18"/>
          <w:szCs w:val="18"/>
          <w:u w:val="single" w:color="auto"/>
          <w:color w:val="auto"/>
        </w:rPr>
        <w:t>www.eigerbio.com</w:t>
      </w:r>
      <w:r>
        <w:rPr>
          <w:rFonts w:ascii="Arial" w:cs="Arial" w:eastAsia="Arial" w:hAnsi="Arial"/>
          <w:sz w:val="18"/>
          <w:szCs w:val="18"/>
          <w:color w:val="auto"/>
        </w:rPr>
        <w:t>.</w:t>
      </w:r>
    </w:p>
    <w:p>
      <w:pPr>
        <w:sectPr>
          <w:pgSz w:w="11900" w:h="16838" w:orient="portrait"/>
          <w:cols w:equalWidth="0" w:num="1">
            <w:col w:w="11000"/>
          </w:cols>
          <w:pgMar w:left="440" w:top="270" w:right="45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Note Regarding Forward-Looking Statements</w:t>
      </w:r>
    </w:p>
    <w:p>
      <w:pPr>
        <w:spacing w:after="0" w:line="121"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This press release contains “forward-looking” statements that involve substantial risks and uncertainties. All statements other than statements of historical facts, including statements regarding our future financial condition, timing for and outcomes of clinical results, business strategy and plans and objectives for future operations, are forward-looking statements. These forward-looking statements include terminology such as “believe,” “will,” “may,” “estimate,” “continue,” “anticipate,” “contemplate,” “intend,” “target,” “project,” “should,” “plan,” “expect,” “predict,” “could,” “potentially” or the negative of these terms. Forward-looking statements are our current statements regarding our intentions, beliefs, projections, outlook, analyses or current expectations concerning, among other things, our ongoing and planned clinical development, including planned NDA submission by year-end 2019, followed by submission of an MAA in first quarter 2020 for Progeria and Progeroid Laminopathies; our progression and enrollment of our Phase 3 D-LIVR study in HDV; our planned advancement of lambda and lonafarnib boosted with ritonavir for HDV; our plans to hold an end of Phase 2 meeting for Peginterferon Lambda in HDV in first quarter 2020; our plans for continued advancement of avexitide in registration trials; our ability to transition into a commercial stage biopharmaceutical company; our ability to finance the continued advancement of our development pipeline products; and the potential for success of any of our product candidates. These statements concern product candidates that have not yet been approved for marketing by the U.S. Food and Drug Administration (FDA). No representation is made as to their safety or effectiveness for the purposes for which they are being investigated.</w:t>
      </w:r>
    </w:p>
    <w:p>
      <w:pPr>
        <w:spacing w:after="0" w:line="188" w:lineRule="exact"/>
        <w:rPr>
          <w:sz w:val="20"/>
          <w:szCs w:val="20"/>
          <w:color w:val="auto"/>
        </w:rPr>
      </w:pPr>
    </w:p>
    <w:p>
      <w:pPr>
        <w:jc w:val="both"/>
        <w:ind w:right="220"/>
        <w:spacing w:after="0" w:line="312" w:lineRule="auto"/>
        <w:rPr>
          <w:sz w:val="20"/>
          <w:szCs w:val="20"/>
          <w:color w:val="auto"/>
        </w:rPr>
      </w:pPr>
      <w:r>
        <w:rPr>
          <w:rFonts w:ascii="Arial" w:cs="Arial" w:eastAsia="Arial" w:hAnsi="Arial"/>
          <w:sz w:val="16"/>
          <w:szCs w:val="16"/>
          <w:color w:val="auto"/>
        </w:rPr>
        <w:t>Various important factors could cause actual results or events to differ materially from the forward-looking statements that Eiger makes, including the risks described in the “Risk Factors” sections in the Quarterly Report on Form 10-Q for the quarter ended September 30, 2019 and Eiger’s subsequent filings with the SEC. Eiger does not assume any obligation to update any forward-looking statements, except as required by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119380</wp:posOffset>
            </wp:positionV>
            <wp:extent cx="1929765" cy="5657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929765" cy="5657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color w:val="auto"/>
        </w:rPr>
        <w:t>SOURCE Eiger BioPharmaceuticals,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Investors: Ingrid Choong, PhD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Email: </w:t>
      </w:r>
      <w:r>
        <w:rPr>
          <w:rFonts w:ascii="Arial" w:cs="Arial" w:eastAsia="Arial" w:hAnsi="Arial"/>
          <w:sz w:val="18"/>
          <w:szCs w:val="18"/>
          <w:u w:val="single" w:color="auto"/>
          <w:color w:val="auto"/>
        </w:rPr>
        <w:t>ichoong@eigerbio.com</w:t>
      </w:r>
      <w:r>
        <w:rPr>
          <w:rFonts w:ascii="Arial" w:cs="Arial" w:eastAsia="Arial" w:hAnsi="Arial"/>
          <w:sz w:val="18"/>
          <w:szCs w:val="18"/>
          <w:color w:val="auto"/>
        </w:rPr>
        <w:t xml:space="preserve"> / Phone: 1-650-619-6115</w:t>
      </w:r>
    </w:p>
    <w:p>
      <w:pPr>
        <w:sectPr>
          <w:pgSz w:w="11900" w:h="16838" w:orient="portrait"/>
          <w:cols w:equalWidth="0" w:num="1">
            <w:col w:w="11020"/>
          </w:cols>
          <w:pgMar w:left="440" w:top="270" w:right="439" w:bottom="1440" w:gutter="0" w:footer="0" w:header="0"/>
        </w:sectPr>
      </w:pPr>
    </w:p>
    <w:bookmarkStart w:id="6" w:name="page7"/>
    <w:bookmarkEnd w:id="6"/>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Eiger BioPharmaceuticals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320" w:type="dxa"/>
            <w:vAlign w:val="bottom"/>
          </w:tcPr>
          <w:p>
            <w:pPr>
              <w:spacing w:after="0"/>
              <w:rPr>
                <w:sz w:val="14"/>
                <w:szCs w:val="14"/>
                <w:color w:val="auto"/>
              </w:rPr>
            </w:pPr>
          </w:p>
        </w:tc>
        <w:tc>
          <w:tcPr>
            <w:tcW w:w="1240" w:type="dxa"/>
            <w:vAlign w:val="bottom"/>
            <w:gridSpan w:val="3"/>
          </w:tcPr>
          <w:p>
            <w:pPr>
              <w:spacing w:after="0"/>
              <w:rPr>
                <w:sz w:val="20"/>
                <w:szCs w:val="20"/>
                <w:color w:val="auto"/>
              </w:rPr>
            </w:pPr>
            <w:r>
              <w:rPr>
                <w:rFonts w:ascii="Arial" w:cs="Arial" w:eastAsia="Arial" w:hAnsi="Arial"/>
                <w:sz w:val="14"/>
                <w:szCs w:val="14"/>
                <w:b w:val="1"/>
                <w:bCs w:val="1"/>
                <w:color w:val="auto"/>
                <w:w w:val="93"/>
              </w:rPr>
              <w:t>Nine Months Ended</w:t>
            </w:r>
          </w:p>
        </w:tc>
        <w:tc>
          <w:tcPr>
            <w:tcW w:w="560" w:type="dxa"/>
            <w:vAlign w:val="bottom"/>
          </w:tcPr>
          <w:p>
            <w:pPr>
              <w:spacing w:after="0"/>
              <w:rPr>
                <w:sz w:val="14"/>
                <w:szCs w:val="14"/>
                <w:color w:val="auto"/>
              </w:rPr>
            </w:pPr>
          </w:p>
        </w:tc>
        <w:tc>
          <w:tcPr>
            <w:tcW w:w="90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96"/>
              </w:rPr>
              <w:t>Year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8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tcPr>
          <w:p>
            <w:pPr>
              <w:jc w:val="center"/>
              <w:ind w:right="54"/>
              <w:spacing w:after="0"/>
              <w:rPr>
                <w:sz w:val="20"/>
                <w:szCs w:val="20"/>
                <w:color w:val="auto"/>
              </w:rPr>
            </w:pPr>
            <w:r>
              <w:rPr>
                <w:rFonts w:ascii="Arial" w:cs="Arial" w:eastAsia="Arial" w:hAnsi="Arial"/>
                <w:sz w:val="14"/>
                <w:szCs w:val="14"/>
                <w:b w:val="1"/>
                <w:bCs w:val="1"/>
                <w:color w:val="auto"/>
                <w:w w:val="91"/>
              </w:rPr>
              <w:t>September 30,</w:t>
            </w:r>
          </w:p>
        </w:tc>
        <w:tc>
          <w:tcPr>
            <w:tcW w:w="1460" w:type="dxa"/>
            <w:vAlign w:val="bottom"/>
            <w:gridSpan w:val="4"/>
          </w:tcPr>
          <w:p>
            <w:pPr>
              <w:jc w:val="center"/>
              <w:ind w:left="394"/>
              <w:spacing w:after="0"/>
              <w:rPr>
                <w:sz w:val="20"/>
                <w:szCs w:val="20"/>
                <w:color w:val="auto"/>
              </w:rPr>
            </w:pPr>
            <w:r>
              <w:rPr>
                <w:rFonts w:ascii="Arial" w:cs="Arial" w:eastAsia="Arial" w:hAnsi="Arial"/>
                <w:sz w:val="14"/>
                <w:szCs w:val="14"/>
                <w:b w:val="1"/>
                <w:bCs w:val="1"/>
                <w:color w:val="auto"/>
                <w:w w:val="90"/>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3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1100" w:type="dxa"/>
            <w:vAlign w:val="bottom"/>
            <w:tcBorders>
              <w:top w:val="single" w:sz="8" w:color="auto"/>
              <w:bottom w:val="single" w:sz="8" w:color="auto"/>
            </w:tcBorders>
          </w:tcPr>
          <w:p>
            <w:pPr>
              <w:jc w:val="center"/>
              <w:ind w:right="54"/>
              <w:spacing w:after="0" w:line="142" w:lineRule="exact"/>
              <w:rPr>
                <w:sz w:val="20"/>
                <w:szCs w:val="20"/>
                <w:color w:val="auto"/>
              </w:rPr>
            </w:pPr>
            <w:r>
              <w:rPr>
                <w:rFonts w:ascii="Arial" w:cs="Arial" w:eastAsia="Arial" w:hAnsi="Arial"/>
                <w:sz w:val="14"/>
                <w:szCs w:val="14"/>
                <w:b w:val="1"/>
                <w:bCs w:val="1"/>
                <w:color w:val="auto"/>
                <w:w w:val="89"/>
              </w:rPr>
              <w:t>2019</w:t>
            </w:r>
          </w:p>
        </w:tc>
        <w:tc>
          <w:tcPr>
            <w:tcW w:w="5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center"/>
              <w:ind w:right="71"/>
              <w:spacing w:after="0" w:line="142" w:lineRule="exact"/>
              <w:rPr>
                <w:sz w:val="20"/>
                <w:szCs w:val="20"/>
                <w:color w:val="auto"/>
              </w:rPr>
            </w:pPr>
            <w:r>
              <w:rPr>
                <w:rFonts w:ascii="Arial" w:cs="Arial" w:eastAsia="Arial" w:hAnsi="Arial"/>
                <w:sz w:val="14"/>
                <w:szCs w:val="14"/>
                <w:b w:val="1"/>
                <w:bCs w:val="1"/>
                <w:color w:val="auto"/>
                <w:w w:val="91"/>
              </w:rPr>
              <w:t>2018</w:t>
            </w:r>
            <w:r>
              <w:rPr>
                <w:rFonts w:ascii="Arial" w:cs="Arial" w:eastAsia="Arial" w:hAnsi="Arial"/>
                <w:sz w:val="12"/>
                <w:szCs w:val="12"/>
                <w:b w:val="1"/>
                <w:bCs w:val="1"/>
                <w:color w:val="auto"/>
                <w:w w:val="91"/>
              </w:rPr>
              <w:t>(1)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3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tcPr>
          <w:p>
            <w:pPr>
              <w:jc w:val="center"/>
              <w:ind w:right="54"/>
              <w:spacing w:after="0" w:line="142" w:lineRule="exact"/>
              <w:rPr>
                <w:sz w:val="20"/>
                <w:szCs w:val="20"/>
                <w:color w:val="auto"/>
              </w:rPr>
            </w:pPr>
            <w:r>
              <w:rPr>
                <w:rFonts w:ascii="Arial" w:cs="Arial" w:eastAsia="Arial" w:hAnsi="Arial"/>
                <w:sz w:val="14"/>
                <w:szCs w:val="14"/>
                <w:b w:val="1"/>
                <w:bCs w:val="1"/>
                <w:color w:val="auto"/>
                <w:w w:val="94"/>
              </w:rPr>
              <w:t>(unaudited)</w:t>
            </w: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2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140" w:type="dxa"/>
            <w:vAlign w:val="bottom"/>
            <w:gridSpan w:val="2"/>
          </w:tcPr>
          <w:p>
            <w:pPr>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19,406</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61,262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20" w:type="dxa"/>
            <w:vAlign w:val="bottom"/>
            <w:shd w:val="clear" w:color="auto" w:fill="CCEEFF"/>
          </w:tcPr>
          <w:p>
            <w:pPr>
              <w:spacing w:after="0"/>
              <w:rPr>
                <w:sz w:val="20"/>
                <w:szCs w:val="20"/>
                <w:color w:val="auto"/>
              </w:rPr>
            </w:pPr>
            <w:r>
              <w:rPr>
                <w:rFonts w:ascii="Arial" w:cs="Arial" w:eastAsia="Arial" w:hAnsi="Arial"/>
                <w:sz w:val="18"/>
                <w:szCs w:val="18"/>
                <w:color w:val="auto"/>
              </w:rPr>
              <w:t>Debt securities, available-for-sale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90,545</w:t>
            </w: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39,091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320" w:type="dxa"/>
            <w:vAlign w:val="bottom"/>
          </w:tcPr>
          <w:p>
            <w:pPr>
              <w:spacing w:after="0"/>
              <w:rPr>
                <w:sz w:val="20"/>
                <w:szCs w:val="20"/>
                <w:color w:val="auto"/>
              </w:rPr>
            </w:pPr>
            <w:r>
              <w:rPr>
                <w:rFonts w:ascii="Arial" w:cs="Arial" w:eastAsia="Arial" w:hAnsi="Arial"/>
                <w:sz w:val="18"/>
                <w:szCs w:val="18"/>
                <w:color w:val="auto"/>
              </w:rPr>
              <w:t>Prepaid expenses and other current assets</w:t>
            </w:r>
          </w:p>
        </w:tc>
        <w:tc>
          <w:tcPr>
            <w:tcW w:w="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4,459</w:t>
            </w:r>
          </w:p>
        </w:tc>
        <w:tc>
          <w:tcPr>
            <w:tcW w:w="5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current assets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114,410</w:t>
            </w: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101,845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2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538</w:t>
            </w: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167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2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 right-of-use assets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1,659</w:t>
            </w: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320" w:type="dxa"/>
            <w:vAlign w:val="bottom"/>
          </w:tcPr>
          <w:p>
            <w:pPr>
              <w:spacing w:after="0"/>
              <w:rPr>
                <w:sz w:val="20"/>
                <w:szCs w:val="20"/>
                <w:color w:val="auto"/>
              </w:rPr>
            </w:pPr>
            <w:r>
              <w:rPr>
                <w:rFonts w:ascii="Arial" w:cs="Arial" w:eastAsia="Arial" w:hAnsi="Arial"/>
                <w:sz w:val="18"/>
                <w:szCs w:val="18"/>
                <w:color w:val="auto"/>
              </w:rPr>
              <w:t>Other assets</w:t>
            </w:r>
          </w:p>
        </w:tc>
        <w:tc>
          <w:tcPr>
            <w:tcW w:w="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3,388</w:t>
            </w:r>
          </w:p>
        </w:tc>
        <w:tc>
          <w:tcPr>
            <w:tcW w:w="5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assets</w:t>
            </w:r>
          </w:p>
        </w:tc>
        <w:tc>
          <w:tcPr>
            <w:tcW w:w="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119,995</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102,448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3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34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2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16,745</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10,024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20" w:type="dxa"/>
            <w:vAlign w:val="bottom"/>
          </w:tcPr>
          <w:p>
            <w:pPr>
              <w:spacing w:after="0"/>
              <w:rPr>
                <w:sz w:val="20"/>
                <w:szCs w:val="20"/>
                <w:color w:val="auto"/>
              </w:rPr>
            </w:pPr>
            <w:r>
              <w:rPr>
                <w:rFonts w:ascii="Arial" w:cs="Arial" w:eastAsia="Arial" w:hAnsi="Arial"/>
                <w:sz w:val="18"/>
                <w:szCs w:val="18"/>
                <w:color w:val="auto"/>
              </w:rPr>
              <w:t>Other liabilities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31,591</w:t>
            </w: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25,832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2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71,659</w:t>
            </w:r>
          </w:p>
        </w:tc>
        <w:tc>
          <w:tcPr>
            <w:tcW w:w="5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66,592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340" w:type="dxa"/>
            <w:vAlign w:val="bottom"/>
            <w:gridSpan w:val="2"/>
          </w:tcPr>
          <w:p>
            <w:pPr>
              <w:spacing w:after="0"/>
              <w:rPr>
                <w:sz w:val="20"/>
                <w:szCs w:val="20"/>
                <w:color w:val="auto"/>
              </w:rPr>
            </w:pPr>
            <w:r>
              <w:rPr>
                <w:rFonts w:ascii="Arial" w:cs="Arial" w:eastAsia="Arial" w:hAnsi="Arial"/>
                <w:sz w:val="18"/>
                <w:szCs w:val="18"/>
                <w:color w:val="auto"/>
              </w:rPr>
              <w:t>Total liabilities and stockholders’ equity</w:t>
            </w: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119,995</w:t>
            </w:r>
          </w:p>
        </w:tc>
        <w:tc>
          <w:tcPr>
            <w:tcW w:w="56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102,448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1" w:lineRule="exact"/>
        <w:rPr>
          <w:sz w:val="20"/>
          <w:szCs w:val="20"/>
          <w:color w:val="auto"/>
        </w:rPr>
      </w:pPr>
    </w:p>
    <w:p>
      <w:pPr>
        <w:ind w:left="440" w:hanging="436"/>
        <w:spacing w:after="0"/>
        <w:tabs>
          <w:tab w:leader="none" w:pos="440" w:val="left"/>
        </w:tabs>
        <w:numPr>
          <w:ilvl w:val="0"/>
          <w:numId w:val="7"/>
        </w:numPr>
        <w:rPr>
          <w:rFonts w:ascii="Arial" w:cs="Arial" w:eastAsia="Arial" w:hAnsi="Arial"/>
          <w:sz w:val="14"/>
          <w:szCs w:val="14"/>
          <w:color w:val="auto"/>
        </w:rPr>
      </w:pPr>
      <w:r>
        <w:rPr>
          <w:rFonts w:ascii="Arial" w:cs="Arial" w:eastAsia="Arial" w:hAnsi="Arial"/>
          <w:sz w:val="16"/>
          <w:szCs w:val="16"/>
          <w:color w:val="auto"/>
        </w:rPr>
        <w:t>Derived from the audited financial statements, included in the Company’s Annual Report on Form 10-K for the year ended December 31, 2018.</w:t>
      </w:r>
    </w:p>
    <w:p>
      <w:pPr>
        <w:sectPr>
          <w:pgSz w:w="11900" w:h="16838" w:orient="portrait"/>
          <w:cols w:equalWidth="0" w:num="1">
            <w:col w:w="11040"/>
          </w:cols>
          <w:pgMar w:left="440" w:top="270" w:right="41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Eiger BioPharmaceuticals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Statements of Operations Financial Data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except per share and share amounts)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20" w:type="dxa"/>
            <w:vAlign w:val="bottom"/>
            <w:gridSpan w:val="6"/>
          </w:tcPr>
          <w:p>
            <w:pPr>
              <w:jc w:val="center"/>
              <w:ind w:right="360"/>
              <w:spacing w:after="0"/>
              <w:rPr>
                <w:sz w:val="20"/>
                <w:szCs w:val="20"/>
                <w:color w:val="auto"/>
              </w:rPr>
            </w:pPr>
            <w:r>
              <w:rPr>
                <w:rFonts w:ascii="Arial" w:cs="Arial" w:eastAsia="Arial" w:hAnsi="Arial"/>
                <w:sz w:val="14"/>
                <w:szCs w:val="14"/>
                <w:b w:val="1"/>
                <w:bCs w:val="1"/>
                <w:color w:val="auto"/>
                <w:w w:val="93"/>
              </w:rPr>
              <w:t>Three Months Ended</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300" w:type="dxa"/>
            <w:vAlign w:val="bottom"/>
            <w:gridSpan w:val="6"/>
          </w:tcPr>
          <w:p>
            <w:pPr>
              <w:jc w:val="center"/>
              <w:ind w:right="220"/>
              <w:spacing w:after="0"/>
              <w:rPr>
                <w:sz w:val="20"/>
                <w:szCs w:val="20"/>
                <w:color w:val="auto"/>
              </w:rPr>
            </w:pPr>
            <w:r>
              <w:rPr>
                <w:rFonts w:ascii="Arial" w:cs="Arial" w:eastAsia="Arial" w:hAnsi="Arial"/>
                <w:sz w:val="14"/>
                <w:szCs w:val="14"/>
                <w:b w:val="1"/>
                <w:bCs w:val="1"/>
                <w:color w:val="auto"/>
                <w:w w:val="94"/>
              </w:rPr>
              <w:t>Nine Months 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20" w:type="dxa"/>
            <w:vAlign w:val="bottom"/>
            <w:gridSpan w:val="4"/>
          </w:tcPr>
          <w:p>
            <w:pPr>
              <w:jc w:val="center"/>
              <w:ind w:left="475"/>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520" w:type="dxa"/>
            <w:vAlign w:val="bottom"/>
            <w:gridSpan w:val="4"/>
          </w:tcPr>
          <w:p>
            <w:pPr>
              <w:jc w:val="center"/>
              <w:ind w:left="475"/>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4"/>
          </w:tcPr>
          <w:p>
            <w:pPr>
              <w:jc w:val="center"/>
              <w:ind w:left="475"/>
              <w:spacing w:after="0"/>
              <w:rPr>
                <w:sz w:val="20"/>
                <w:szCs w:val="20"/>
                <w:color w:val="auto"/>
              </w:rPr>
            </w:pPr>
            <w:r>
              <w:rPr>
                <w:rFonts w:ascii="Arial" w:cs="Arial" w:eastAsia="Arial" w:hAnsi="Arial"/>
                <w:sz w:val="14"/>
                <w:szCs w:val="14"/>
                <w:b w:val="1"/>
                <w:bCs w:val="1"/>
                <w:color w:val="auto"/>
                <w:w w:val="94"/>
              </w:rPr>
              <w:t>(unaudited)</w:t>
            </w:r>
          </w:p>
        </w:tc>
        <w:tc>
          <w:tcPr>
            <w:tcW w:w="66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4"/>
          </w:tcPr>
          <w:p>
            <w:pPr>
              <w:jc w:val="center"/>
              <w:ind w:left="475"/>
              <w:spacing w:after="0"/>
              <w:rPr>
                <w:sz w:val="20"/>
                <w:szCs w:val="20"/>
                <w:color w:val="auto"/>
              </w:rPr>
            </w:pPr>
            <w:r>
              <w:rPr>
                <w:rFonts w:ascii="Arial" w:cs="Arial" w:eastAsia="Arial" w:hAnsi="Arial"/>
                <w:sz w:val="14"/>
                <w:szCs w:val="14"/>
                <w:b w:val="1"/>
                <w:bCs w:val="1"/>
                <w:color w:val="auto"/>
                <w:w w:val="94"/>
              </w:rPr>
              <w:t>(unaudited)</w:t>
            </w:r>
          </w:p>
        </w:tc>
        <w:tc>
          <w:tcPr>
            <w:tcW w:w="6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800" w:type="dxa"/>
            <w:vAlign w:val="bottom"/>
            <w:tcBorders>
              <w:bottom w:val="single" w:sz="8" w:color="CCEEFF"/>
            </w:tcBorders>
          </w:tcPr>
          <w:p>
            <w:pPr>
              <w:spacing w:after="0"/>
              <w:rPr>
                <w:sz w:val="12"/>
                <w:szCs w:val="12"/>
                <w:color w:val="auto"/>
              </w:rPr>
            </w:pPr>
          </w:p>
        </w:tc>
        <w:tc>
          <w:tcPr>
            <w:tcW w:w="11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2019</w:t>
            </w:r>
          </w:p>
        </w:tc>
        <w:tc>
          <w:tcPr>
            <w:tcW w:w="24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color w:val="auto"/>
              </w:rPr>
              <w:t>2018</w:t>
            </w:r>
          </w:p>
        </w:tc>
        <w:tc>
          <w:tcPr>
            <w:tcW w:w="24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2019</w:t>
            </w:r>
          </w:p>
        </w:tc>
        <w:tc>
          <w:tcPr>
            <w:tcW w:w="26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8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Operating expenses:</w:t>
            </w:r>
          </w:p>
        </w:tc>
        <w:tc>
          <w:tcPr>
            <w:tcW w:w="1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tcPr>
          <w:p>
            <w:pPr>
              <w:ind w:left="340"/>
              <w:spacing w:after="0"/>
              <w:rPr>
                <w:sz w:val="20"/>
                <w:szCs w:val="20"/>
                <w:color w:val="auto"/>
              </w:rPr>
            </w:pPr>
            <w:r>
              <w:rPr>
                <w:rFonts w:ascii="Arial" w:cs="Arial" w:eastAsia="Arial" w:hAnsi="Arial"/>
                <w:sz w:val="18"/>
                <w:szCs w:val="18"/>
                <w:color w:val="auto"/>
              </w:rPr>
              <w:t>Research and development</w:t>
            </w:r>
            <w:r>
              <w:rPr>
                <w:rFonts w:ascii="Arial" w:cs="Arial" w:eastAsia="Arial" w:hAnsi="Arial"/>
                <w:sz w:val="15"/>
                <w:szCs w:val="15"/>
                <w:color w:val="auto"/>
              </w:rPr>
              <w:t>(1)</w:t>
            </w: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14,059</w:t>
            </w:r>
          </w:p>
        </w:tc>
        <w:tc>
          <w:tcPr>
            <w:tcW w:w="240" w:type="dxa"/>
            <w:vAlign w:val="bottom"/>
          </w:tcPr>
          <w:p>
            <w:pPr>
              <w:spacing w:after="0"/>
              <w:rPr>
                <w:sz w:val="18"/>
                <w:szCs w:val="18"/>
                <w:color w:val="auto"/>
              </w:rPr>
            </w:pPr>
          </w:p>
        </w:tc>
        <w:tc>
          <w:tcPr>
            <w:tcW w:w="4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13,196</w:t>
            </w:r>
          </w:p>
        </w:tc>
        <w:tc>
          <w:tcPr>
            <w:tcW w:w="240" w:type="dxa"/>
            <w:vAlign w:val="bottom"/>
          </w:tcPr>
          <w:p>
            <w:pPr>
              <w:spacing w:after="0"/>
              <w:rPr>
                <w:sz w:val="18"/>
                <w:szCs w:val="18"/>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39,863</w:t>
            </w:r>
          </w:p>
        </w:tc>
        <w:tc>
          <w:tcPr>
            <w:tcW w:w="260" w:type="dxa"/>
            <w:vAlign w:val="bottom"/>
          </w:tcPr>
          <w:p>
            <w:pPr>
              <w:spacing w:after="0"/>
              <w:rPr>
                <w:sz w:val="18"/>
                <w:szCs w:val="18"/>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25,080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r>
              <w:rPr>
                <w:rFonts w:ascii="Arial" w:cs="Arial" w:eastAsia="Arial" w:hAnsi="Arial"/>
                <w:sz w:val="15"/>
                <w:szCs w:val="15"/>
                <w:color w:val="auto"/>
              </w:rPr>
              <w:t>(1)</w:t>
            </w:r>
          </w:p>
        </w:tc>
        <w:tc>
          <w:tcPr>
            <w:tcW w:w="1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4,247</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3,643</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12,529</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9,874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00" w:type="dxa"/>
            <w:vAlign w:val="bottom"/>
          </w:tcPr>
          <w:p>
            <w:pPr>
              <w:ind w:left="700"/>
              <w:spacing w:after="0"/>
              <w:rPr>
                <w:sz w:val="20"/>
                <w:szCs w:val="20"/>
                <w:color w:val="auto"/>
              </w:rPr>
            </w:pPr>
            <w:r>
              <w:rPr>
                <w:rFonts w:ascii="Arial" w:cs="Arial" w:eastAsia="Arial" w:hAnsi="Arial"/>
                <w:sz w:val="18"/>
                <w:szCs w:val="18"/>
                <w:color w:val="auto"/>
              </w:rPr>
              <w:t>Total operating expenses</w:t>
            </w:r>
          </w:p>
        </w:tc>
        <w:tc>
          <w:tcPr>
            <w:tcW w:w="1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18,306</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16,839</w:t>
            </w: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52,392</w:t>
            </w: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34,954</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(18,306)</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(16,839)</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(52,392)</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(34,954)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tcPr>
          <w:p>
            <w:pPr>
              <w:spacing w:after="0"/>
              <w:rPr>
                <w:sz w:val="20"/>
                <w:szCs w:val="20"/>
                <w:color w:val="auto"/>
              </w:rPr>
            </w:pPr>
            <w:r>
              <w:rPr>
                <w:rFonts w:ascii="Arial" w:cs="Arial" w:eastAsia="Arial" w:hAnsi="Arial"/>
                <w:sz w:val="18"/>
                <w:szCs w:val="18"/>
                <w:color w:val="auto"/>
              </w:rPr>
              <w:t>Interest expense</w:t>
            </w: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color w:val="auto"/>
              </w:rPr>
              <w:t>(884)</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(681)</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(2,518)</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(1,574)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585</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371</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1,598</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tcPr>
          <w:p>
            <w:pPr>
              <w:spacing w:after="0"/>
              <w:rPr>
                <w:sz w:val="20"/>
                <w:szCs w:val="20"/>
                <w:color w:val="auto"/>
              </w:rPr>
            </w:pPr>
            <w:r>
              <w:rPr>
                <w:rFonts w:ascii="Arial" w:cs="Arial" w:eastAsia="Arial" w:hAnsi="Arial"/>
                <w:sz w:val="18"/>
                <w:szCs w:val="18"/>
                <w:color w:val="auto"/>
              </w:rPr>
              <w:t>Other income (expense), net</w:t>
            </w: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color w:val="auto"/>
              </w:rPr>
              <w:t>(11)</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(20)</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8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(18,616)</w:t>
            </w:r>
          </w:p>
        </w:tc>
        <w:tc>
          <w:tcPr>
            <w:tcW w:w="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(17,144)</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(53,332)</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(35,890)</w:t>
            </w:r>
          </w:p>
        </w:tc>
        <w:tc>
          <w:tcPr>
            <w:tcW w:w="0" w:type="dxa"/>
            <w:vAlign w:val="bottom"/>
          </w:tcPr>
          <w:p>
            <w:pPr>
              <w:spacing w:after="0"/>
              <w:rPr>
                <w:sz w:val="1"/>
                <w:szCs w:val="1"/>
                <w:color w:val="auto"/>
              </w:rPr>
            </w:pPr>
          </w:p>
        </w:tc>
      </w:tr>
      <w:tr>
        <w:trPr>
          <w:trHeight w:val="20"/>
        </w:trPr>
        <w:tc>
          <w:tcPr>
            <w:tcW w:w="4820" w:type="dxa"/>
            <w:vAlign w:val="bottom"/>
            <w:gridSpan w:val="2"/>
            <w:vMerge w:val="restart"/>
          </w:tcPr>
          <w:p>
            <w:pPr>
              <w:spacing w:after="0"/>
              <w:rPr>
                <w:sz w:val="20"/>
                <w:szCs w:val="20"/>
                <w:color w:val="auto"/>
              </w:rPr>
            </w:pPr>
            <w:r>
              <w:rPr>
                <w:rFonts w:ascii="Arial" w:cs="Arial" w:eastAsia="Arial" w:hAnsi="Arial"/>
                <w:sz w:val="18"/>
                <w:szCs w:val="18"/>
                <w:color w:val="auto"/>
              </w:rPr>
              <w:t>Net loss per common share:</w:t>
            </w:r>
          </w:p>
        </w:tc>
        <w:tc>
          <w:tcPr>
            <w:tcW w:w="1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820" w:type="dxa"/>
            <w:vAlign w:val="bottom"/>
            <w:gridSpan w:val="2"/>
            <w:vMerge w:val="continue"/>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Basic and diluted</w:t>
            </w: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(0.76)</w:t>
            </w:r>
          </w:p>
        </w:tc>
        <w:tc>
          <w:tcPr>
            <w:tcW w:w="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(1.20)</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(2.40)</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(2.92)</w:t>
            </w:r>
          </w:p>
        </w:tc>
        <w:tc>
          <w:tcPr>
            <w:tcW w:w="0" w:type="dxa"/>
            <w:vAlign w:val="bottom"/>
          </w:tcPr>
          <w:p>
            <w:pPr>
              <w:spacing w:after="0"/>
              <w:rPr>
                <w:sz w:val="1"/>
                <w:szCs w:val="1"/>
                <w:color w:val="auto"/>
              </w:rPr>
            </w:pPr>
          </w:p>
        </w:tc>
      </w:tr>
      <w:tr>
        <w:trPr>
          <w:trHeight w:val="20"/>
        </w:trPr>
        <w:tc>
          <w:tcPr>
            <w:tcW w:w="4820" w:type="dxa"/>
            <w:vAlign w:val="bottom"/>
            <w:gridSpan w:val="2"/>
            <w:vMerge w:val="restart"/>
          </w:tcPr>
          <w:p>
            <w:pPr>
              <w:spacing w:after="0"/>
              <w:rPr>
                <w:sz w:val="20"/>
                <w:szCs w:val="20"/>
                <w:color w:val="auto"/>
              </w:rPr>
            </w:pPr>
            <w:r>
              <w:rPr>
                <w:rFonts w:ascii="Arial" w:cs="Arial" w:eastAsia="Arial" w:hAnsi="Arial"/>
                <w:sz w:val="18"/>
                <w:szCs w:val="18"/>
                <w:color w:val="auto"/>
              </w:rPr>
              <w:t>Shares used to compute net loss per common share:</w:t>
            </w:r>
          </w:p>
        </w:tc>
        <w:tc>
          <w:tcPr>
            <w:tcW w:w="1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820" w:type="dxa"/>
            <w:vAlign w:val="bottom"/>
            <w:gridSpan w:val="2"/>
            <w:vMerge w:val="continue"/>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Basic and diluted</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24,437,451</w:t>
            </w:r>
          </w:p>
        </w:tc>
        <w:tc>
          <w:tcPr>
            <w:tcW w:w="2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14,255,843</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22,261,715</w:t>
            </w:r>
          </w:p>
        </w:tc>
        <w:tc>
          <w:tcPr>
            <w:tcW w:w="26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12,290,500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left="400" w:hanging="396"/>
        <w:spacing w:after="0"/>
        <w:tabs>
          <w:tab w:leader="none" w:pos="400" w:val="left"/>
        </w:tabs>
        <w:numPr>
          <w:ilvl w:val="0"/>
          <w:numId w:val="8"/>
        </w:numPr>
        <w:rPr>
          <w:rFonts w:ascii="Arial" w:cs="Arial" w:eastAsia="Arial" w:hAnsi="Arial"/>
          <w:sz w:val="15"/>
          <w:szCs w:val="15"/>
          <w:color w:val="auto"/>
        </w:rPr>
      </w:pPr>
      <w:r>
        <w:rPr>
          <w:rFonts w:ascii="Arial" w:cs="Arial" w:eastAsia="Arial" w:hAnsi="Arial"/>
          <w:sz w:val="18"/>
          <w:szCs w:val="18"/>
          <w:color w:val="auto"/>
        </w:rPr>
        <w:t>Includes stock-based compensation expense of:</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7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80" w:type="dxa"/>
            <w:vAlign w:val="bottom"/>
            <w:gridSpan w:val="4"/>
          </w:tcPr>
          <w:p>
            <w:pPr>
              <w:jc w:val="right"/>
              <w:ind w:right="414"/>
              <w:spacing w:after="0"/>
              <w:rPr>
                <w:sz w:val="20"/>
                <w:szCs w:val="20"/>
                <w:color w:val="auto"/>
              </w:rPr>
            </w:pPr>
            <w:r>
              <w:rPr>
                <w:rFonts w:ascii="Arial" w:cs="Arial" w:eastAsia="Arial" w:hAnsi="Arial"/>
                <w:sz w:val="14"/>
                <w:szCs w:val="14"/>
                <w:b w:val="1"/>
                <w:bCs w:val="1"/>
                <w:color w:val="auto"/>
              </w:rPr>
              <w:t>Three Months Ended</w:t>
            </w:r>
          </w:p>
        </w:tc>
        <w:tc>
          <w:tcPr>
            <w:tcW w:w="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0" w:type="dxa"/>
            <w:vAlign w:val="bottom"/>
            <w:gridSpan w:val="5"/>
          </w:tcPr>
          <w:p>
            <w:pPr>
              <w:ind w:left="320"/>
              <w:spacing w:after="0"/>
              <w:rPr>
                <w:sz w:val="20"/>
                <w:szCs w:val="20"/>
                <w:color w:val="auto"/>
              </w:rPr>
            </w:pPr>
            <w:r>
              <w:rPr>
                <w:rFonts w:ascii="Arial" w:cs="Arial" w:eastAsia="Arial" w:hAnsi="Arial"/>
                <w:sz w:val="14"/>
                <w:szCs w:val="14"/>
                <w:b w:val="1"/>
                <w:bCs w:val="1"/>
                <w:color w:val="auto"/>
              </w:rPr>
              <w:t>Nine Months Ended</w:t>
            </w:r>
          </w:p>
        </w:tc>
      </w:tr>
      <w:tr>
        <w:trPr>
          <w:trHeight w:val="171"/>
        </w:trPr>
        <w:tc>
          <w:tcPr>
            <w:tcW w:w="20" w:type="dxa"/>
            <w:vAlign w:val="bottom"/>
          </w:tcPr>
          <w:p>
            <w:pPr>
              <w:spacing w:after="0"/>
              <w:rPr>
                <w:sz w:val="14"/>
                <w:szCs w:val="14"/>
                <w:color w:val="auto"/>
              </w:rPr>
            </w:pPr>
          </w:p>
        </w:tc>
        <w:tc>
          <w:tcPr>
            <w:tcW w:w="47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660" w:type="dxa"/>
            <w:vAlign w:val="bottom"/>
            <w:tcBorders>
              <w:bottom w:val="single" w:sz="8" w:color="auto"/>
            </w:tcBorders>
          </w:tcPr>
          <w:p>
            <w:pPr>
              <w:spacing w:after="0"/>
              <w:rPr>
                <w:sz w:val="14"/>
                <w:szCs w:val="14"/>
                <w:color w:val="auto"/>
              </w:rPr>
            </w:pPr>
          </w:p>
        </w:tc>
        <w:tc>
          <w:tcPr>
            <w:tcW w:w="4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3"/>
          </w:tcPr>
          <w:p>
            <w:pPr>
              <w:ind w:left="500"/>
              <w:spacing w:after="0"/>
              <w:rPr>
                <w:sz w:val="20"/>
                <w:szCs w:val="20"/>
                <w:color w:val="auto"/>
              </w:rPr>
            </w:pPr>
            <w:r>
              <w:rPr>
                <w:rFonts w:ascii="Arial" w:cs="Arial" w:eastAsia="Arial" w:hAnsi="Arial"/>
                <w:sz w:val="14"/>
                <w:szCs w:val="14"/>
                <w:b w:val="1"/>
                <w:bCs w:val="1"/>
                <w:color w:val="auto"/>
                <w:w w:val="93"/>
              </w:rPr>
              <w:t>September 30,</w:t>
            </w:r>
          </w:p>
        </w:tc>
        <w:tc>
          <w:tcPr>
            <w:tcW w:w="6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760" w:type="dxa"/>
            <w:vAlign w:val="bottom"/>
            <w:tcBorders>
              <w:bottom w:val="single" w:sz="8" w:color="CCEEFF"/>
            </w:tcBorders>
          </w:tcPr>
          <w:p>
            <w:pPr>
              <w:spacing w:after="0"/>
              <w:rPr>
                <w:sz w:val="12"/>
                <w:szCs w:val="12"/>
                <w:color w:val="auto"/>
              </w:rPr>
            </w:pPr>
          </w:p>
        </w:tc>
        <w:tc>
          <w:tcPr>
            <w:tcW w:w="1140" w:type="dxa"/>
            <w:vAlign w:val="bottom"/>
            <w:tcBorders>
              <w:bottom w:val="single" w:sz="8" w:color="CCEEFF"/>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39"/>
              <w:spacing w:after="0" w:line="142" w:lineRule="exact"/>
              <w:rPr>
                <w:sz w:val="20"/>
                <w:szCs w:val="20"/>
                <w:color w:val="auto"/>
              </w:rPr>
            </w:pPr>
            <w:r>
              <w:rPr>
                <w:rFonts w:ascii="Arial" w:cs="Arial" w:eastAsia="Arial" w:hAnsi="Arial"/>
                <w:sz w:val="14"/>
                <w:szCs w:val="14"/>
                <w:b w:val="1"/>
                <w:bCs w:val="1"/>
                <w:color w:val="auto"/>
              </w:rPr>
              <w:t>2019</w:t>
            </w:r>
          </w:p>
        </w:tc>
        <w:tc>
          <w:tcPr>
            <w:tcW w:w="440" w:type="dxa"/>
            <w:vAlign w:val="bottom"/>
            <w:tcBorders>
              <w:bottom w:val="single" w:sz="8" w:color="CCEEFF"/>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2018</w:t>
            </w:r>
          </w:p>
        </w:tc>
        <w:tc>
          <w:tcPr>
            <w:tcW w:w="46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ind w:left="120"/>
              <w:spacing w:after="0" w:line="142" w:lineRule="exact"/>
              <w:rPr>
                <w:sz w:val="20"/>
                <w:szCs w:val="20"/>
                <w:color w:val="auto"/>
              </w:rPr>
            </w:pPr>
            <w:r>
              <w:rPr>
                <w:rFonts w:ascii="Arial" w:cs="Arial" w:eastAsia="Arial" w:hAnsi="Arial"/>
                <w:sz w:val="14"/>
                <w:szCs w:val="14"/>
                <w:b w:val="1"/>
                <w:bCs w:val="1"/>
                <w:color w:val="auto"/>
              </w:rPr>
              <w:t>2019</w:t>
            </w:r>
          </w:p>
        </w:tc>
        <w:tc>
          <w:tcPr>
            <w:tcW w:w="460" w:type="dxa"/>
            <w:vAlign w:val="bottom"/>
            <w:tcBorders>
              <w:bottom w:val="single" w:sz="8" w:color="CCEEFF"/>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476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w:t>
            </w:r>
          </w:p>
        </w:tc>
        <w:tc>
          <w:tcPr>
            <w:tcW w:w="114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559</w:t>
            </w:r>
          </w:p>
        </w:tc>
        <w:tc>
          <w:tcPr>
            <w:tcW w:w="44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344</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ind w:left="300"/>
              <w:spacing w:after="0"/>
              <w:rPr>
                <w:sz w:val="20"/>
                <w:szCs w:val="20"/>
                <w:color w:val="auto"/>
              </w:rPr>
            </w:pPr>
            <w:r>
              <w:rPr>
                <w:rFonts w:ascii="Arial" w:cs="Arial" w:eastAsia="Arial" w:hAnsi="Arial"/>
                <w:sz w:val="18"/>
                <w:szCs w:val="18"/>
                <w:color w:val="auto"/>
                <w:w w:val="88"/>
              </w:rPr>
              <w:t>1,366</w:t>
            </w: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1,138</w:t>
            </w:r>
          </w:p>
        </w:tc>
        <w:tc>
          <w:tcPr>
            <w:tcW w:w="12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76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114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1,090</w:t>
            </w:r>
          </w:p>
        </w:tc>
        <w:tc>
          <w:tcPr>
            <w:tcW w:w="44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828</w:t>
            </w:r>
          </w:p>
        </w:tc>
        <w:tc>
          <w:tcPr>
            <w:tcW w:w="4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ind w:left="300"/>
              <w:spacing w:after="0"/>
              <w:rPr>
                <w:sz w:val="20"/>
                <w:szCs w:val="20"/>
                <w:color w:val="auto"/>
              </w:rPr>
            </w:pPr>
            <w:r>
              <w:rPr>
                <w:rFonts w:ascii="Arial" w:cs="Arial" w:eastAsia="Arial" w:hAnsi="Arial"/>
                <w:sz w:val="18"/>
                <w:szCs w:val="18"/>
                <w:color w:val="auto"/>
                <w:w w:val="88"/>
              </w:rPr>
              <w:t>2,965</w:t>
            </w:r>
          </w:p>
        </w:tc>
        <w:tc>
          <w:tcPr>
            <w:tcW w:w="46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2,358</w:t>
            </w:r>
          </w:p>
        </w:tc>
        <w:tc>
          <w:tcPr>
            <w:tcW w:w="1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760" w:type="dxa"/>
            <w:vAlign w:val="bottom"/>
            <w:shd w:val="clear" w:color="auto" w:fill="CCEEFF"/>
          </w:tcPr>
          <w:p>
            <w:pPr>
              <w:ind w:left="700"/>
              <w:spacing w:after="0"/>
              <w:rPr>
                <w:sz w:val="20"/>
                <w:szCs w:val="20"/>
                <w:color w:val="auto"/>
              </w:rPr>
            </w:pPr>
            <w:r>
              <w:rPr>
                <w:rFonts w:ascii="Arial" w:cs="Arial" w:eastAsia="Arial" w:hAnsi="Arial"/>
                <w:sz w:val="18"/>
                <w:szCs w:val="18"/>
                <w:color w:val="auto"/>
              </w:rPr>
              <w:t>Total stock-based compensation expense</w:t>
            </w:r>
          </w:p>
        </w:tc>
        <w:tc>
          <w:tcPr>
            <w:tcW w:w="134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1,649</w:t>
            </w:r>
          </w:p>
        </w:tc>
        <w:tc>
          <w:tcPr>
            <w:tcW w:w="7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1,172</w:t>
            </w:r>
          </w:p>
        </w:tc>
        <w:tc>
          <w:tcPr>
            <w:tcW w:w="64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ind w:left="300"/>
              <w:spacing w:after="0"/>
              <w:rPr>
                <w:sz w:val="20"/>
                <w:szCs w:val="20"/>
                <w:color w:val="auto"/>
              </w:rPr>
            </w:pPr>
            <w:r>
              <w:rPr>
                <w:rFonts w:ascii="Arial" w:cs="Arial" w:eastAsia="Arial" w:hAnsi="Arial"/>
                <w:sz w:val="18"/>
                <w:szCs w:val="18"/>
                <w:color w:val="auto"/>
                <w:w w:val="88"/>
              </w:rPr>
              <w:t>4,331</w:t>
            </w:r>
          </w:p>
        </w:tc>
        <w:tc>
          <w:tcPr>
            <w:tcW w:w="700" w:type="dxa"/>
            <w:vAlign w:val="bottom"/>
            <w:gridSpan w:val="2"/>
            <w:shd w:val="clear" w:color="auto" w:fill="CCEEFF"/>
          </w:tcPr>
          <w:p>
            <w:pPr>
              <w:jc w:val="right"/>
              <w:ind w:right="85"/>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3,496</w:t>
            </w:r>
          </w:p>
        </w:tc>
        <w:tc>
          <w:tcPr>
            <w:tcW w:w="12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1040"/>
      </w:cols>
      <w:pgMar w:left="440" w:top="270"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lvl w:ilvl="1">
      <w:lvlJc w:val="left"/>
      <w:lvlText w:val="•"/>
      <w:numFmt w:val="bullet"/>
      <w:start w:val="1"/>
    </w:lvl>
  </w:abstractNum>
  <w:abstractNum w:abstractNumId="4">
    <w:nsid w:val="2EB141F2"/>
    <w:multiLevelType w:val="hybridMultilevel"/>
    <w:lvl w:ilvl="0">
      <w:lvlJc w:val="left"/>
      <w:lvlText w:val="•"/>
      <w:numFmt w:val="bullet"/>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decimal"/>
      <w:start w:val="1"/>
    </w:lvl>
  </w:abstractNum>
  <w:abstractNum w:abstractNumId="7">
    <w:nsid w:val="7545E14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2019-12-28T02:27:53Z</dcterms:created>
  <dcterms:modified xsi:type="dcterms:W3CDTF">2019-12-28T02:27:53Z</dcterms:modified>
</cp:coreProperties>
</file>