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6"/>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1" w:lineRule="exact"/>
        <w:rPr>
          <w:sz w:val="24"/>
          <w:szCs w:val="24"/>
          <w:color w:val="auto"/>
        </w:rPr>
      </w:pPr>
    </w:p>
    <w:p>
      <w:pPr>
        <w:jc w:val="center"/>
        <w:ind w:right="16"/>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6"/>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227330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26" w:lineRule="exact"/>
        <w:rPr>
          <w:sz w:val="24"/>
          <w:szCs w:val="24"/>
          <w:color w:val="auto"/>
        </w:rPr>
      </w:pPr>
    </w:p>
    <w:p>
      <w:pPr>
        <w:jc w:val="center"/>
        <w:ind w:right="16"/>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247015</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16"/>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16"/>
        <w:spacing w:after="0"/>
        <w:rPr>
          <w:sz w:val="20"/>
          <w:szCs w:val="20"/>
          <w:color w:val="auto"/>
        </w:rPr>
      </w:pPr>
      <w:r>
        <w:rPr>
          <w:rFonts w:ascii="Arial" w:cs="Arial" w:eastAsia="Arial" w:hAnsi="Arial"/>
          <w:sz w:val="22"/>
          <w:szCs w:val="22"/>
          <w:b w:val="1"/>
          <w:bCs w:val="1"/>
          <w:color w:val="auto"/>
        </w:rPr>
        <w:t>Pursuant to Section 13 or 15(d)</w:t>
      </w:r>
    </w:p>
    <w:p>
      <w:pPr>
        <w:jc w:val="center"/>
        <w:ind w:right="16"/>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ind w:right="16"/>
        <w:spacing w:after="0"/>
        <w:rPr>
          <w:sz w:val="20"/>
          <w:szCs w:val="20"/>
          <w:color w:val="auto"/>
        </w:rPr>
      </w:pPr>
      <w:r>
        <w:rPr>
          <w:rFonts w:ascii="Arial" w:cs="Arial" w:eastAsia="Arial" w:hAnsi="Arial"/>
          <w:sz w:val="22"/>
          <w:szCs w:val="22"/>
          <w:b w:val="1"/>
          <w:bCs w:val="1"/>
          <w:color w:val="auto"/>
        </w:rPr>
        <w:t>Date of Report (Date of earliest event reported): August 6,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233680</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35" w:lineRule="exact"/>
        <w:rPr>
          <w:sz w:val="24"/>
          <w:szCs w:val="24"/>
          <w:color w:val="auto"/>
        </w:rPr>
      </w:pPr>
    </w:p>
    <w:p>
      <w:pPr>
        <w:jc w:val="center"/>
        <w:ind w:right="16"/>
        <w:spacing w:after="0"/>
        <w:rPr>
          <w:sz w:val="20"/>
          <w:szCs w:val="20"/>
          <w:color w:val="auto"/>
        </w:rPr>
      </w:pPr>
      <w:r>
        <w:rPr>
          <w:rFonts w:ascii="Arial" w:cs="Arial" w:eastAsia="Arial" w:hAnsi="Arial"/>
          <w:sz w:val="43"/>
          <w:szCs w:val="43"/>
          <w:b w:val="1"/>
          <w:bCs w:val="1"/>
          <w:color w:val="auto"/>
        </w:rPr>
        <w:t>EIGER BIOPHARMACEUTICALS, INC.</w:t>
      </w:r>
    </w:p>
    <w:p>
      <w:pPr>
        <w:spacing w:after="0" w:line="50"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236220</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1504"/>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jc w:val="center"/>
        <w:ind w:right="2100"/>
        <w:spacing w:after="0"/>
        <w:rPr>
          <w:sz w:val="20"/>
          <w:szCs w:val="20"/>
          <w:color w:val="auto"/>
        </w:rPr>
      </w:pPr>
      <w:r>
        <w:rPr>
          <w:rFonts w:ascii="Arial" w:cs="Arial" w:eastAsia="Arial" w:hAnsi="Arial"/>
          <w:sz w:val="16"/>
          <w:szCs w:val="16"/>
          <w:b w:val="1"/>
          <w:bCs w:val="1"/>
          <w:color w:val="auto"/>
        </w:rPr>
        <w:t>001-36183</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33-0971591</w:t>
      </w:r>
    </w:p>
    <w:p>
      <w:pPr>
        <w:spacing w:after="0" w:line="31" w:lineRule="exact"/>
        <w:rPr>
          <w:sz w:val="24"/>
          <w:szCs w:val="24"/>
          <w:color w:val="auto"/>
        </w:rPr>
      </w:pPr>
    </w:p>
    <w:p>
      <w:pPr>
        <w:sectPr>
          <w:pgSz w:w="11900" w:h="16838" w:orient="portrait"/>
          <w:cols w:equalWidth="0" w:num="3">
            <w:col w:w="4504" w:space="720"/>
            <w:col w:w="2880" w:space="720"/>
            <w:col w:w="2200"/>
          </w:cols>
          <w:pgMar w:left="436" w:top="368" w:right="439" w:bottom="1440" w:gutter="0" w:footer="0" w:header="0"/>
          <w:type w:val="continuous"/>
        </w:sectPr>
      </w:pPr>
    </w:p>
    <w:p>
      <w:pPr>
        <w:spacing w:after="0" w:line="12" w:lineRule="exact"/>
        <w:rPr>
          <w:sz w:val="24"/>
          <w:szCs w:val="24"/>
          <w:color w:val="auto"/>
        </w:rPr>
      </w:pPr>
    </w:p>
    <w:p>
      <w:pPr>
        <w:jc w:val="center"/>
        <w:ind w:right="756"/>
        <w:spacing w:after="0"/>
        <w:rPr>
          <w:sz w:val="20"/>
          <w:szCs w:val="20"/>
          <w:color w:val="auto"/>
        </w:rPr>
      </w:pPr>
      <w:r>
        <w:rPr>
          <w:rFonts w:ascii="Arial" w:cs="Arial" w:eastAsia="Arial" w:hAnsi="Arial"/>
          <w:sz w:val="13"/>
          <w:szCs w:val="13"/>
          <w:b w:val="1"/>
          <w:bCs w:val="1"/>
          <w:color w:val="auto"/>
        </w:rPr>
        <w:t>(State or other jurisdiction</w:t>
      </w:r>
    </w:p>
    <w:p>
      <w:pPr>
        <w:jc w:val="center"/>
        <w:ind w:right="756"/>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200"/>
        <w:spacing w:after="0"/>
        <w:rPr>
          <w:sz w:val="20"/>
          <w:szCs w:val="20"/>
          <w:color w:val="auto"/>
        </w:rPr>
      </w:pPr>
      <w:r>
        <w:rPr>
          <w:rFonts w:ascii="Arial" w:cs="Arial" w:eastAsia="Arial" w:hAnsi="Arial"/>
          <w:sz w:val="14"/>
          <w:szCs w:val="14"/>
          <w:b w:val="1"/>
          <w:bCs w:val="1"/>
          <w:color w:val="auto"/>
        </w:rPr>
        <w:t>(IRS Employer</w:t>
      </w:r>
    </w:p>
    <w:p>
      <w:pPr>
        <w:jc w:val="center"/>
        <w:ind w:right="1200"/>
        <w:spacing w:after="0"/>
        <w:rPr>
          <w:sz w:val="20"/>
          <w:szCs w:val="20"/>
          <w:color w:val="auto"/>
        </w:rPr>
      </w:pPr>
      <w:r>
        <w:rPr>
          <w:rFonts w:ascii="Arial" w:cs="Arial" w:eastAsia="Arial" w:hAnsi="Arial"/>
          <w:sz w:val="13"/>
          <w:szCs w:val="13"/>
          <w:b w:val="1"/>
          <w:bCs w:val="1"/>
          <w:color w:val="auto"/>
        </w:rPr>
        <w:t>Identification No.)</w:t>
      </w:r>
    </w:p>
    <w:p>
      <w:pPr>
        <w:spacing w:after="0" w:line="211" w:lineRule="exact"/>
        <w:rPr>
          <w:sz w:val="24"/>
          <w:szCs w:val="24"/>
          <w:color w:val="auto"/>
        </w:rPr>
      </w:pPr>
    </w:p>
    <w:p>
      <w:pPr>
        <w:sectPr>
          <w:pgSz w:w="11900" w:h="16838" w:orient="portrait"/>
          <w:cols w:equalWidth="0" w:num="3">
            <w:col w:w="4484" w:space="720"/>
            <w:col w:w="2760" w:space="720"/>
            <w:col w:w="2340"/>
          </w:cols>
          <w:pgMar w:left="436" w:top="368" w:right="439" w:bottom="1440" w:gutter="0" w:footer="0" w:header="0"/>
          <w:type w:val="continuous"/>
        </w:sectPr>
      </w:pPr>
    </w:p>
    <w:p>
      <w:pPr>
        <w:spacing w:after="0" w:line="5"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Eiger BioPharmaceuticals, Inc.</w:t>
      </w:r>
    </w:p>
    <w:p>
      <w:pPr>
        <w:spacing w:after="0" w:line="27"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2155 Park Blvd.</w:t>
      </w:r>
    </w:p>
    <w:p>
      <w:pPr>
        <w:spacing w:after="0" w:line="9"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Palo Alto, California 94306</w:t>
      </w:r>
    </w:p>
    <w:p>
      <w:pPr>
        <w:spacing w:after="0" w:line="2" w:lineRule="exact"/>
        <w:rPr>
          <w:sz w:val="24"/>
          <w:szCs w:val="24"/>
          <w:color w:val="auto"/>
        </w:rPr>
      </w:pPr>
    </w:p>
    <w:p>
      <w:pPr>
        <w:jc w:val="center"/>
        <w:ind w:right="16"/>
        <w:spacing w:after="0"/>
        <w:rPr>
          <w:sz w:val="20"/>
          <w:szCs w:val="20"/>
          <w:color w:val="auto"/>
        </w:rPr>
      </w:pPr>
      <w:r>
        <w:rPr>
          <w:rFonts w:ascii="Arial" w:cs="Arial" w:eastAsia="Arial" w:hAnsi="Arial"/>
          <w:sz w:val="13"/>
          <w:szCs w:val="13"/>
          <w:b w:val="1"/>
          <w:bCs w:val="1"/>
          <w:color w:val="auto"/>
        </w:rPr>
        <w:t>(Address of principal executive offices, including zip code)</w:t>
      </w:r>
    </w:p>
    <w:p>
      <w:pPr>
        <w:spacing w:after="0" w:line="203"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(650) 272-6138</w:t>
      </w:r>
    </w:p>
    <w:p>
      <w:pPr>
        <w:spacing w:after="0" w:line="21" w:lineRule="exact"/>
        <w:rPr>
          <w:sz w:val="24"/>
          <w:szCs w:val="24"/>
          <w:color w:val="auto"/>
        </w:rPr>
      </w:pPr>
    </w:p>
    <w:p>
      <w:pPr>
        <w:jc w:val="center"/>
        <w:ind w:right="16"/>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192"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ind w:right="16"/>
        <w:spacing w:after="0"/>
        <w:rPr>
          <w:sz w:val="20"/>
          <w:szCs w:val="20"/>
          <w:color w:val="auto"/>
        </w:rPr>
      </w:pPr>
      <w:r>
        <w:rPr>
          <w:rFonts w:ascii="Arial" w:cs="Arial" w:eastAsia="Arial" w:hAnsi="Arial"/>
          <w:sz w:val="12"/>
          <w:szCs w:val="12"/>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242570</wp:posOffset>
            </wp:positionV>
            <wp:extent cx="14744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type w:val="continuous"/>
        </w:sectPr>
      </w:pPr>
    </w:p>
    <w:p>
      <w:pPr>
        <w:spacing w:after="0" w:line="200" w:lineRule="exact"/>
        <w:rPr>
          <w:sz w:val="24"/>
          <w:szCs w:val="24"/>
          <w:color w:val="auto"/>
        </w:rPr>
      </w:pPr>
    </w:p>
    <w:p>
      <w:pPr>
        <w:spacing w:after="0" w:line="397" w:lineRule="exact"/>
        <w:rPr>
          <w:sz w:val="24"/>
          <w:szCs w:val="24"/>
          <w:color w:val="auto"/>
        </w:rPr>
      </w:pPr>
    </w:p>
    <w:p>
      <w:pPr>
        <w:ind w:left="4" w:right="40" w:firstLine="44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left="4"/>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44" w:lineRule="exact"/>
        <w:rPr>
          <w:sz w:val="24"/>
          <w:szCs w:val="24"/>
          <w:color w:val="auto"/>
        </w:rPr>
      </w:pPr>
    </w:p>
    <w:tbl>
      <w:tblPr>
        <w:tblLayout w:type="fixed"/>
        <w:tblInd w:w="604" w:type="dxa"/>
        <w:tblCellMar>
          <w:top w:w="0" w:type="dxa"/>
          <w:left w:w="0" w:type="dxa"/>
          <w:bottom w:w="0" w:type="dxa"/>
          <w:right w:w="0" w:type="dxa"/>
        </w:tblCellMar>
      </w:tblPr>
      <w:tr>
        <w:trPr>
          <w:trHeight w:val="171"/>
        </w:trPr>
        <w:tc>
          <w:tcPr>
            <w:tcW w:w="720" w:type="dxa"/>
            <w:vAlign w:val="bottom"/>
            <w:vMerge w:val="restart"/>
          </w:tcPr>
          <w:p>
            <w:pPr>
              <w:spacing w:after="0"/>
              <w:rPr>
                <w:sz w:val="20"/>
                <w:szCs w:val="20"/>
                <w:color w:val="auto"/>
              </w:rPr>
            </w:pPr>
            <w:r>
              <w:rPr>
                <w:rFonts w:ascii="Arial" w:cs="Arial" w:eastAsia="Arial" w:hAnsi="Arial"/>
                <w:sz w:val="18"/>
                <w:szCs w:val="18"/>
                <w:b w:val="1"/>
                <w:bCs w:val="1"/>
                <w:color w:val="auto"/>
                <w:w w:val="89"/>
              </w:rPr>
              <w:t>Common</w:t>
            </w:r>
          </w:p>
        </w:tc>
        <w:tc>
          <w:tcPr>
            <w:tcW w:w="1100" w:type="dxa"/>
            <w:vAlign w:val="bottom"/>
          </w:tcPr>
          <w:p>
            <w:pPr>
              <w:spacing w:after="0"/>
              <w:rPr>
                <w:sz w:val="20"/>
                <w:szCs w:val="20"/>
                <w:color w:val="auto"/>
              </w:rPr>
            </w:pPr>
            <w:r>
              <w:rPr>
                <w:rFonts w:ascii="Arial" w:cs="Arial" w:eastAsia="Arial" w:hAnsi="Arial"/>
                <w:sz w:val="14"/>
                <w:szCs w:val="14"/>
                <w:b w:val="1"/>
                <w:bCs w:val="1"/>
                <w:color w:val="auto"/>
                <w:w w:val="89"/>
              </w:rPr>
              <w:t>Title of each class</w:t>
            </w:r>
          </w:p>
        </w:tc>
        <w:tc>
          <w:tcPr>
            <w:tcW w:w="2620" w:type="dxa"/>
            <w:vAlign w:val="bottom"/>
          </w:tcPr>
          <w:p>
            <w:pPr>
              <w:spacing w:after="0"/>
              <w:rPr>
                <w:sz w:val="14"/>
                <w:szCs w:val="14"/>
                <w:color w:val="auto"/>
              </w:rPr>
            </w:pPr>
          </w:p>
        </w:tc>
        <w:tc>
          <w:tcPr>
            <w:tcW w:w="1160" w:type="dxa"/>
            <w:vAlign w:val="bottom"/>
          </w:tcPr>
          <w:p>
            <w:pPr>
              <w:jc w:val="center"/>
              <w:spacing w:after="0"/>
              <w:rPr>
                <w:sz w:val="20"/>
                <w:szCs w:val="20"/>
                <w:color w:val="auto"/>
              </w:rPr>
            </w:pPr>
            <w:r>
              <w:rPr>
                <w:rFonts w:ascii="Arial" w:cs="Arial" w:eastAsia="Arial" w:hAnsi="Arial"/>
                <w:sz w:val="14"/>
                <w:szCs w:val="14"/>
                <w:b w:val="1"/>
                <w:bCs w:val="1"/>
                <w:color w:val="auto"/>
                <w:w w:val="94"/>
              </w:rPr>
              <w:t>Trading Symbol(s)</w:t>
            </w:r>
          </w:p>
        </w:tc>
        <w:tc>
          <w:tcPr>
            <w:tcW w:w="4400" w:type="dxa"/>
            <w:vAlign w:val="bottom"/>
            <w:gridSpan w:val="2"/>
          </w:tcPr>
          <w:p>
            <w:pPr>
              <w:jc w:val="center"/>
              <w:ind w:left="1628"/>
              <w:spacing w:after="0"/>
              <w:rPr>
                <w:sz w:val="20"/>
                <w:szCs w:val="20"/>
                <w:color w:val="auto"/>
              </w:rPr>
            </w:pPr>
            <w:r>
              <w:rPr>
                <w:rFonts w:ascii="Arial" w:cs="Arial" w:eastAsia="Arial" w:hAnsi="Arial"/>
                <w:sz w:val="14"/>
                <w:szCs w:val="14"/>
                <w:b w:val="1"/>
                <w:bCs w:val="1"/>
                <w:color w:val="auto"/>
                <w:w w:val="89"/>
              </w:rPr>
              <w:t>Name of each exchange on which registered</w:t>
            </w:r>
          </w:p>
        </w:tc>
        <w:tc>
          <w:tcPr>
            <w:tcW w:w="0" w:type="dxa"/>
            <w:vAlign w:val="bottom"/>
          </w:tcPr>
          <w:p>
            <w:pPr>
              <w:spacing w:after="0"/>
              <w:rPr>
                <w:sz w:val="1"/>
                <w:szCs w:val="1"/>
                <w:color w:val="auto"/>
              </w:rPr>
            </w:pPr>
          </w:p>
        </w:tc>
      </w:tr>
      <w:tr>
        <w:trPr>
          <w:trHeight w:val="20"/>
        </w:trPr>
        <w:tc>
          <w:tcPr>
            <w:tcW w:w="720" w:type="dxa"/>
            <w:vAlign w:val="bottom"/>
            <w:vMerge w:val="continue"/>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720" w:type="dxa"/>
            <w:vAlign w:val="bottom"/>
            <w:vMerge w:val="restart"/>
          </w:tcPr>
          <w:p>
            <w:pPr>
              <w:spacing w:after="0" w:line="20" w:lineRule="exact"/>
              <w:rPr>
                <w:sz w:val="1"/>
                <w:szCs w:val="1"/>
                <w:color w:val="auto"/>
              </w:rPr>
            </w:pPr>
          </w:p>
        </w:tc>
        <w:tc>
          <w:tcPr>
            <w:tcW w:w="26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8"/>
        </w:trPr>
        <w:tc>
          <w:tcPr>
            <w:tcW w:w="720" w:type="dxa"/>
            <w:vAlign w:val="bottom"/>
            <w:vMerge w:val="continue"/>
          </w:tcPr>
          <w:p>
            <w:pPr>
              <w:spacing w:after="0"/>
              <w:rPr>
                <w:sz w:val="19"/>
                <w:szCs w:val="19"/>
                <w:color w:val="auto"/>
              </w:rPr>
            </w:pPr>
          </w:p>
        </w:tc>
        <w:tc>
          <w:tcPr>
            <w:tcW w:w="3720" w:type="dxa"/>
            <w:vAlign w:val="bottom"/>
            <w:gridSpan w:val="2"/>
          </w:tcPr>
          <w:p>
            <w:pPr>
              <w:ind w:left="40"/>
              <w:spacing w:after="0"/>
              <w:rPr>
                <w:sz w:val="20"/>
                <w:szCs w:val="20"/>
                <w:color w:val="auto"/>
              </w:rPr>
            </w:pPr>
            <w:r>
              <w:rPr>
                <w:rFonts w:ascii="Arial" w:cs="Arial" w:eastAsia="Arial" w:hAnsi="Arial"/>
                <w:sz w:val="18"/>
                <w:szCs w:val="18"/>
                <w:b w:val="1"/>
                <w:bCs w:val="1"/>
                <w:color w:val="auto"/>
              </w:rPr>
              <w:t>Stock, par value $0.001</w:t>
            </w:r>
          </w:p>
        </w:tc>
        <w:tc>
          <w:tcPr>
            <w:tcW w:w="1160" w:type="dxa"/>
            <w:vAlign w:val="bottom"/>
          </w:tcPr>
          <w:p>
            <w:pPr>
              <w:jc w:val="center"/>
              <w:spacing w:after="0"/>
              <w:rPr>
                <w:sz w:val="20"/>
                <w:szCs w:val="20"/>
                <w:color w:val="auto"/>
              </w:rPr>
            </w:pPr>
            <w:r>
              <w:rPr>
                <w:rFonts w:ascii="Arial" w:cs="Arial" w:eastAsia="Arial" w:hAnsi="Arial"/>
                <w:sz w:val="18"/>
                <w:szCs w:val="18"/>
                <w:b w:val="1"/>
                <w:bCs w:val="1"/>
                <w:color w:val="auto"/>
              </w:rPr>
              <w:t>EIGR</w:t>
            </w:r>
          </w:p>
        </w:tc>
        <w:tc>
          <w:tcPr>
            <w:tcW w:w="1720" w:type="dxa"/>
            <w:vAlign w:val="bottom"/>
            <w:vMerge w:val="continue"/>
          </w:tcPr>
          <w:p>
            <w:pPr>
              <w:spacing w:after="0"/>
              <w:rPr>
                <w:sz w:val="19"/>
                <w:szCs w:val="19"/>
                <w:color w:val="auto"/>
              </w:rPr>
            </w:pPr>
          </w:p>
        </w:tc>
        <w:tc>
          <w:tcPr>
            <w:tcW w:w="2680" w:type="dxa"/>
            <w:vAlign w:val="bottom"/>
          </w:tcPr>
          <w:p>
            <w:pPr>
              <w:jc w:val="center"/>
              <w:spacing w:after="0"/>
              <w:rPr>
                <w:sz w:val="20"/>
                <w:szCs w:val="20"/>
                <w:color w:val="auto"/>
              </w:rPr>
            </w:pPr>
            <w:r>
              <w:rPr>
                <w:rFonts w:ascii="Arial" w:cs="Arial" w:eastAsia="Arial" w:hAnsi="Arial"/>
                <w:sz w:val="18"/>
                <w:szCs w:val="18"/>
                <w:b w:val="1"/>
                <w:bCs w:val="1"/>
                <w:color w:val="auto"/>
                <w:w w:val="93"/>
              </w:rPr>
              <w:t>The Nasdaq Stock Market LLC</w:t>
            </w:r>
          </w:p>
        </w:tc>
        <w:tc>
          <w:tcPr>
            <w:tcW w:w="0" w:type="dxa"/>
            <w:vAlign w:val="bottom"/>
          </w:tcPr>
          <w:p>
            <w:pPr>
              <w:spacing w:after="0"/>
              <w:rPr>
                <w:sz w:val="1"/>
                <w:szCs w:val="1"/>
                <w:color w:val="auto"/>
              </w:rPr>
            </w:pPr>
          </w:p>
        </w:tc>
      </w:tr>
    </w:tbl>
    <w:p>
      <w:pPr>
        <w:spacing w:after="0" w:line="183" w:lineRule="exact"/>
        <w:rPr>
          <w:sz w:val="24"/>
          <w:szCs w:val="24"/>
          <w:color w:val="auto"/>
        </w:rPr>
      </w:pPr>
    </w:p>
    <w:p>
      <w:pPr>
        <w:ind w:left="4" w:right="30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jc w:val="right"/>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ectPr>
          <w:pgSz w:w="11900" w:h="16838" w:orient="portrait"/>
          <w:cols w:equalWidth="0" w:num="1">
            <w:col w:w="11024"/>
          </w:cols>
          <w:pgMar w:left="436" w:top="368" w:right="439" w:bottom="1440" w:gutter="0" w:footer="0" w:header="0"/>
          <w:type w:val="continuous"/>
        </w:sectPr>
      </w:pPr>
    </w:p>
    <w:bookmarkStart w:id="1" w:name="page2"/>
    <w:bookmarkEnd w:id="1"/>
    <w:p>
      <w:pPr>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133350</wp:posOffset>
            </wp:positionV>
            <wp:extent cx="699516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176530</wp:posOffset>
            </wp:positionV>
            <wp:extent cx="699516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0720"/>
          </w:cols>
          <w:pgMar w:left="440" w:top="125" w:right="739" w:bottom="1440" w:gutter="0" w:footer="0" w:header="0"/>
        </w:sectPr>
      </w:pPr>
    </w:p>
    <w:bookmarkStart w:id="2" w:name="page3"/>
    <w:bookmarkEnd w:id="2"/>
    <w:p>
      <w:pPr>
        <w:spacing w:after="0"/>
        <w:tabs>
          <w:tab w:leader="none" w:pos="118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49465" cy="25400"/>
                    </a:xfrm>
                    <a:prstGeom prst="rect">
                      <a:avLst/>
                    </a:prstGeom>
                    <a:noFill/>
                  </pic:spPr>
                </pic:pic>
              </a:graphicData>
            </a:graphic>
          </wp:anchor>
        </w:drawing>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121" w:lineRule="exact"/>
        <w:rPr>
          <w:sz w:val="20"/>
          <w:szCs w:val="20"/>
          <w:color w:val="auto"/>
        </w:rPr>
      </w:pPr>
    </w:p>
    <w:p>
      <w:pPr>
        <w:jc w:val="both"/>
        <w:ind w:right="100" w:firstLine="991"/>
        <w:spacing w:after="0" w:line="263" w:lineRule="auto"/>
        <w:rPr>
          <w:sz w:val="20"/>
          <w:szCs w:val="20"/>
          <w:color w:val="auto"/>
        </w:rPr>
      </w:pPr>
      <w:r>
        <w:rPr>
          <w:rFonts w:ascii="Arial" w:cs="Arial" w:eastAsia="Arial" w:hAnsi="Arial"/>
          <w:sz w:val="18"/>
          <w:szCs w:val="18"/>
          <w:color w:val="auto"/>
        </w:rPr>
        <w:t>On August 6, 2020, Eiger BioPharmaceuticals, Inc. reported its financial results for the quarter ended June 30, 2020. A copy of the press release titled “Eiger BioPharmaceuticals Reports Second Quarter 2020 Financial Results and Provides Business Update,” is furnished pursuant to Item 2.02 as Exhibit 99.1 hereto and is incorporated herein by reference.</w:t>
      </w:r>
    </w:p>
    <w:p>
      <w:pPr>
        <w:spacing w:after="0" w:line="184" w:lineRule="exact"/>
        <w:rPr>
          <w:sz w:val="20"/>
          <w:szCs w:val="20"/>
          <w:color w:val="auto"/>
        </w:rPr>
      </w:pPr>
    </w:p>
    <w:p>
      <w:pPr>
        <w:ind w:firstLine="991"/>
        <w:spacing w:after="0" w:line="296" w:lineRule="auto"/>
        <w:rPr>
          <w:sz w:val="20"/>
          <w:szCs w:val="20"/>
          <w:color w:val="auto"/>
        </w:rPr>
      </w:pPr>
      <w:r>
        <w:rPr>
          <w:rFonts w:ascii="Arial" w:cs="Arial" w:eastAsia="Arial" w:hAnsi="Arial"/>
          <w:sz w:val="16"/>
          <w:szCs w:val="16"/>
          <w:color w:val="auto"/>
        </w:rPr>
        <w:t>The information in this item 2.02 and in the press release attached as Exhibit 99.1 to this Current Report on Form 8-K shall not be deemed to be “filed” for purposes of Section 18 of the Securities Exchange Act of 1934, as amended, or otherwise subject to the liabilities of Section 11 and 12(a)(2) of the Securities Act of 1933, as amended. The information in this item 2.02 and in the press release attached as Exhibit 99.1 to this Current Report on Form 8-K shall not be incorporated by reference into any filing with the U.S. Securities and Exchange Commission made by Eiger BioPharmaceuticals, Inc., whether made before or after the date hereof, regardless of any general incorporation language in such filing.</w:t>
      </w:r>
    </w:p>
    <w:p>
      <w:pPr>
        <w:spacing w:after="0" w:line="306"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 Exhibits.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0" w:type="dxa"/>
            <w:vAlign w:val="bottom"/>
          </w:tcPr>
          <w:p>
            <w:pPr>
              <w:jc w:val="center"/>
              <w:spacing w:after="0"/>
              <w:rPr>
                <w:sz w:val="20"/>
                <w:szCs w:val="20"/>
                <w:color w:val="auto"/>
              </w:rPr>
            </w:pPr>
            <w:r>
              <w:rPr>
                <w:rFonts w:ascii="Arial" w:cs="Arial" w:eastAsia="Arial" w:hAnsi="Arial"/>
                <w:sz w:val="14"/>
                <w:szCs w:val="14"/>
                <w:b w:val="1"/>
                <w:bCs w:val="1"/>
                <w:color w:val="auto"/>
                <w:w w:val="98"/>
              </w:rPr>
              <w:t>Exhibit</w:t>
            </w:r>
          </w:p>
        </w:tc>
        <w:tc>
          <w:tcPr>
            <w:tcW w:w="4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3380" w:type="dxa"/>
            <w:vAlign w:val="bottom"/>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4"/>
                <w:szCs w:val="14"/>
                <w:b w:val="1"/>
                <w:bCs w:val="1"/>
                <w:color w:val="auto"/>
                <w:w w:val="90"/>
              </w:rPr>
              <w:t>Description</w:t>
            </w:r>
          </w:p>
        </w:tc>
        <w:tc>
          <w:tcPr>
            <w:tcW w:w="404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4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No.</w:t>
            </w:r>
          </w:p>
        </w:tc>
        <w:tc>
          <w:tcPr>
            <w:tcW w:w="4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3380" w:type="dxa"/>
            <w:vAlign w:val="bottom"/>
          </w:tcPr>
          <w:p>
            <w:pPr>
              <w:spacing w:after="0"/>
              <w:rPr>
                <w:sz w:val="14"/>
                <w:szCs w:val="14"/>
                <w:color w:val="auto"/>
              </w:rPr>
            </w:pPr>
          </w:p>
        </w:tc>
        <w:tc>
          <w:tcPr>
            <w:tcW w:w="720" w:type="dxa"/>
            <w:vAlign w:val="bottom"/>
            <w:tcBorders>
              <w:bottom w:val="single" w:sz="8" w:color="auto"/>
            </w:tcBorders>
            <w:vMerge w:val="continue"/>
          </w:tcPr>
          <w:p>
            <w:pPr>
              <w:spacing w:after="0"/>
              <w:rPr>
                <w:sz w:val="14"/>
                <w:szCs w:val="14"/>
                <w:color w:val="auto"/>
              </w:rPr>
            </w:pPr>
          </w:p>
        </w:tc>
        <w:tc>
          <w:tcPr>
            <w:tcW w:w="40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77"/>
        </w:trPr>
        <w:tc>
          <w:tcPr>
            <w:tcW w:w="460" w:type="dxa"/>
            <w:vAlign w:val="bottom"/>
          </w:tcPr>
          <w:p>
            <w:pPr>
              <w:jc w:val="center"/>
              <w:spacing w:after="0"/>
              <w:rPr>
                <w:sz w:val="20"/>
                <w:szCs w:val="20"/>
                <w:color w:val="auto"/>
              </w:rPr>
            </w:pPr>
            <w:r>
              <w:rPr>
                <w:rFonts w:ascii="Arial" w:cs="Arial" w:eastAsia="Arial" w:hAnsi="Arial"/>
                <w:sz w:val="18"/>
                <w:szCs w:val="18"/>
                <w:color w:val="auto"/>
                <w:w w:val="91"/>
              </w:rPr>
              <w:t>99.1</w:t>
            </w:r>
          </w:p>
        </w:tc>
        <w:tc>
          <w:tcPr>
            <w:tcW w:w="420" w:type="dxa"/>
            <w:vAlign w:val="bottom"/>
          </w:tcPr>
          <w:p>
            <w:pPr>
              <w:spacing w:after="0"/>
              <w:rPr>
                <w:sz w:val="24"/>
                <w:szCs w:val="24"/>
                <w:color w:val="auto"/>
              </w:rPr>
            </w:pPr>
          </w:p>
        </w:tc>
        <w:tc>
          <w:tcPr>
            <w:tcW w:w="9460" w:type="dxa"/>
            <w:vAlign w:val="bottom"/>
            <w:tcBorders>
              <w:bottom w:val="single" w:sz="8" w:color="0000EE"/>
            </w:tcBorders>
            <w:gridSpan w:val="4"/>
          </w:tcPr>
          <w:p>
            <w:pPr>
              <w:spacing w:after="0"/>
              <w:rPr>
                <w:rFonts w:ascii="Arial" w:cs="Arial" w:eastAsia="Arial" w:hAnsi="Arial"/>
                <w:sz w:val="18"/>
                <w:szCs w:val="18"/>
                <w:color w:val="0000EE"/>
                <w:w w:val="89"/>
              </w:rPr>
            </w:pPr>
            <w:hyperlink w:anchor="page5">
              <w:r>
                <w:rPr>
                  <w:rFonts w:ascii="Arial" w:cs="Arial" w:eastAsia="Arial" w:hAnsi="Arial"/>
                  <w:sz w:val="18"/>
                  <w:szCs w:val="18"/>
                  <w:color w:val="0000EE"/>
                  <w:w w:val="89"/>
                </w:rPr>
                <w:t>Press release, dated August 6, 2020, titled “Eiger BioPharmaceuticals Reports Second Quarter 2020 Financial Results and Provides</w:t>
              </w:r>
            </w:hyperlink>
          </w:p>
        </w:tc>
        <w:tc>
          <w:tcPr>
            <w:tcW w:w="0" w:type="dxa"/>
            <w:vAlign w:val="bottom"/>
          </w:tcPr>
          <w:p>
            <w:pPr>
              <w:spacing w:after="0"/>
              <w:rPr>
                <w:sz w:val="1"/>
                <w:szCs w:val="1"/>
                <w:color w:val="auto"/>
              </w:rPr>
            </w:pPr>
          </w:p>
        </w:tc>
      </w:tr>
      <w:tr>
        <w:trPr>
          <w:trHeight w:val="196"/>
        </w:trPr>
        <w:tc>
          <w:tcPr>
            <w:tcW w:w="4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9460" w:type="dxa"/>
            <w:vAlign w:val="bottom"/>
            <w:gridSpan w:val="4"/>
          </w:tcPr>
          <w:p>
            <w:pPr>
              <w:spacing w:after="0" w:line="196" w:lineRule="exact"/>
              <w:rPr>
                <w:rFonts w:ascii="Arial" w:cs="Arial" w:eastAsia="Arial" w:hAnsi="Arial"/>
                <w:sz w:val="18"/>
                <w:szCs w:val="18"/>
                <w:color w:val="0000EE"/>
              </w:rPr>
            </w:pPr>
            <w:hyperlink w:anchor="page5">
              <w:r>
                <w:rPr>
                  <w:rFonts w:ascii="Arial" w:cs="Arial" w:eastAsia="Arial" w:hAnsi="Arial"/>
                  <w:sz w:val="18"/>
                  <w:szCs w:val="18"/>
                  <w:color w:val="0000EE"/>
                </w:rPr>
                <w:t>Business Update.”</w:t>
              </w:r>
            </w:hyperlink>
          </w:p>
        </w:tc>
        <w:tc>
          <w:tcPr>
            <w:tcW w:w="0" w:type="dxa"/>
            <w:vAlign w:val="bottom"/>
          </w:tcPr>
          <w:p>
            <w:pPr>
              <w:spacing w:after="0"/>
              <w:rPr>
                <w:sz w:val="1"/>
                <w:szCs w:val="1"/>
                <w:color w:val="auto"/>
              </w:rPr>
            </w:pPr>
          </w:p>
        </w:tc>
      </w:tr>
      <w:tr>
        <w:trPr>
          <w:trHeight w:val="20"/>
        </w:trPr>
        <w:tc>
          <w:tcPr>
            <w:tcW w:w="4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320" w:type="dxa"/>
            <w:vAlign w:val="bottom"/>
            <w:shd w:val="clear" w:color="auto" w:fill="0000EE"/>
          </w:tcPr>
          <w:p>
            <w:pPr>
              <w:spacing w:after="0" w:line="20" w:lineRule="exact"/>
              <w:rPr>
                <w:sz w:val="1"/>
                <w:szCs w:val="1"/>
                <w:color w:val="auto"/>
              </w:rPr>
            </w:pPr>
          </w:p>
        </w:tc>
        <w:tc>
          <w:tcPr>
            <w:tcW w:w="33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40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0940"/>
          </w:cols>
          <w:pgMar w:left="440" w:top="270" w:right="519" w:bottom="1440" w:gutter="0" w:footer="0" w:header="0"/>
        </w:sectPr>
      </w:pPr>
    </w:p>
    <w:bookmarkStart w:id="3" w:name="page4"/>
    <w:bookmarkEnd w:id="3"/>
    <w:p>
      <w:pPr>
        <w:jc w:val="center"/>
        <w:ind w:right="-23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49465" cy="26035"/>
                    </a:xfrm>
                    <a:prstGeom prst="rect">
                      <a:avLst/>
                    </a:prstGeom>
                    <a:noFill/>
                  </pic:spPr>
                </pic:pic>
              </a:graphicData>
            </a:graphic>
          </wp:anchor>
        </w:drawing>
        <w:t>SIGNATURES</w:t>
      </w:r>
    </w:p>
    <w:p>
      <w:pPr>
        <w:spacing w:after="0" w:line="229" w:lineRule="exact"/>
        <w:rPr>
          <w:sz w:val="20"/>
          <w:szCs w:val="20"/>
          <w:color w:val="auto"/>
        </w:rPr>
      </w:pPr>
    </w:p>
    <w:p>
      <w:pPr>
        <w:ind w:firstLine="44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ind w:left="5620"/>
        <w:spacing w:after="0"/>
        <w:rPr>
          <w:sz w:val="20"/>
          <w:szCs w:val="20"/>
          <w:color w:val="auto"/>
        </w:rPr>
      </w:pPr>
      <w:r>
        <w:rPr>
          <w:rFonts w:ascii="Arial" w:cs="Arial" w:eastAsia="Arial" w:hAnsi="Arial"/>
          <w:sz w:val="18"/>
          <w:szCs w:val="18"/>
          <w:b w:val="1"/>
          <w:bCs w:val="1"/>
          <w:color w:val="auto"/>
        </w:rPr>
        <w:t>Eiger BioPharmaceuticals, Inc.</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Dated: August 6, 2020</w:t>
      </w:r>
    </w:p>
    <w:p>
      <w:pPr>
        <w:spacing w:after="0" w:line="225" w:lineRule="exact"/>
        <w:rPr>
          <w:sz w:val="20"/>
          <w:szCs w:val="20"/>
          <w:color w:val="auto"/>
        </w:rPr>
      </w:pPr>
    </w:p>
    <w:p>
      <w:pPr>
        <w:ind w:left="5620"/>
        <w:spacing w:after="0"/>
        <w:tabs>
          <w:tab w:leader="none" w:pos="60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Sriram Ryali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3846195</wp:posOffset>
            </wp:positionH>
            <wp:positionV relativeFrom="paragraph">
              <wp:posOffset>14605</wp:posOffset>
            </wp:positionV>
            <wp:extent cx="314579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16"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Sriram Ryali</w:t>
      </w:r>
    </w:p>
    <w:p>
      <w:pPr>
        <w:spacing w:after="0" w:line="2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0780"/>
          </w:cols>
          <w:pgMar w:left="440" w:top="270" w:right="679"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b w:val="1"/>
          <w:bCs w:val="1"/>
          <w:color w:val="auto"/>
        </w:rPr>
        <w:t>Exhibit 99.1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Eiger BioPharmaceuticals Reports Second Quarter 2020 Financial Results and Provides Business Update</w:t>
      </w:r>
    </w:p>
    <w:p>
      <w:pPr>
        <w:spacing w:after="0" w:line="121" w:lineRule="exact"/>
        <w:rPr>
          <w:sz w:val="20"/>
          <w:szCs w:val="20"/>
          <w:color w:val="auto"/>
        </w:rPr>
      </w:pPr>
    </w:p>
    <w:p>
      <w:pPr>
        <w:ind w:right="200"/>
        <w:spacing w:after="0" w:line="263" w:lineRule="auto"/>
        <w:rPr>
          <w:sz w:val="20"/>
          <w:szCs w:val="20"/>
          <w:color w:val="auto"/>
        </w:rPr>
      </w:pPr>
      <w:r>
        <w:rPr>
          <w:rFonts w:ascii="Arial" w:cs="Arial" w:eastAsia="Arial" w:hAnsi="Arial"/>
          <w:sz w:val="18"/>
          <w:szCs w:val="18"/>
          <w:color w:val="auto"/>
        </w:rPr>
        <w:t>PALO ALTO, Calif., August 6, 2020 /PRNewswire/ — Eiger BioPharmaceuticals, Inc. (Nasdaq:EIGR), focused on the development and commercialization of targeted therapies for serious rare and ultra-rare diseases, today reported financial results for second quarter 2020 and provided a business update.</w:t>
      </w:r>
    </w:p>
    <w:p>
      <w:pPr>
        <w:spacing w:after="0" w:line="184" w:lineRule="exact"/>
        <w:rPr>
          <w:sz w:val="20"/>
          <w:szCs w:val="20"/>
          <w:color w:val="auto"/>
        </w:rPr>
      </w:pPr>
    </w:p>
    <w:p>
      <w:pPr>
        <w:ind w:right="340"/>
        <w:spacing w:after="0" w:line="257" w:lineRule="auto"/>
        <w:rPr>
          <w:sz w:val="20"/>
          <w:szCs w:val="20"/>
          <w:color w:val="auto"/>
        </w:rPr>
      </w:pPr>
      <w:r>
        <w:rPr>
          <w:rFonts w:ascii="Arial" w:cs="Arial" w:eastAsia="Arial" w:hAnsi="Arial"/>
          <w:sz w:val="18"/>
          <w:szCs w:val="18"/>
          <w:color w:val="auto"/>
        </w:rPr>
        <w:t>“Eiger is executing toward multiple important milestones across our pipeline, including anticipated FDA approval of Zokinvy</w:t>
      </w:r>
      <w:r>
        <w:rPr>
          <w:rFonts w:ascii="Arial" w:cs="Arial" w:eastAsia="Arial" w:hAnsi="Arial"/>
          <w:sz w:val="15"/>
          <w:szCs w:val="15"/>
          <w:color w:val="auto"/>
        </w:rPr>
        <w:t>TM</w:t>
      </w:r>
      <w:r>
        <w:rPr>
          <w:rFonts w:ascii="Arial" w:cs="Arial" w:eastAsia="Arial" w:hAnsi="Arial"/>
          <w:sz w:val="18"/>
          <w:szCs w:val="18"/>
          <w:color w:val="auto"/>
        </w:rPr>
        <w:t xml:space="preserve"> in Progeria and Progeroid Laminopathies,” said David Cory, President and CEO. “Our Phase 3 HDV D-LIVR trial continues to enroll and dose patients with full enrollment expected in 2021, and we plan for end-of-treatment and end-of-study data from our Phase 2 HDV LIFT study of peginterferon lambda in combination with lonafarnib this year. In addition, we look forward to results from multiple ongoing investigator sponsored studies of peginterferon lambda in COVID-19 patients.”</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Recent Highlights and Upcoming Milestones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Zokinvy</w:t>
      </w:r>
      <w:r>
        <w:rPr>
          <w:rFonts w:ascii="Arial" w:cs="Arial" w:eastAsia="Arial" w:hAnsi="Arial"/>
          <w:sz w:val="15"/>
          <w:szCs w:val="15"/>
          <w:b w:val="1"/>
          <w:bCs w:val="1"/>
          <w:i w:val="1"/>
          <w:iCs w:val="1"/>
          <w:color w:val="auto"/>
        </w:rPr>
        <w:t>TM</w:t>
      </w:r>
      <w:r>
        <w:rPr>
          <w:rFonts w:ascii="Arial" w:cs="Arial" w:eastAsia="Arial" w:hAnsi="Arial"/>
          <w:sz w:val="18"/>
          <w:szCs w:val="18"/>
          <w:b w:val="1"/>
          <w:bCs w:val="1"/>
          <w:i w:val="1"/>
          <w:iCs w:val="1"/>
          <w:color w:val="auto"/>
        </w:rPr>
        <w:t xml:space="preserve"> (lonafarnib) in Progeria and Progeroid Laminopathies</w:t>
      </w:r>
    </w:p>
    <w:p>
      <w:pPr>
        <w:spacing w:after="0" w:line="131" w:lineRule="exact"/>
        <w:rPr>
          <w:sz w:val="20"/>
          <w:szCs w:val="20"/>
          <w:color w:val="auto"/>
        </w:rPr>
      </w:pPr>
    </w:p>
    <w:p>
      <w:pPr>
        <w:ind w:left="860" w:right="200" w:hanging="432"/>
        <w:spacing w:after="0" w:line="277" w:lineRule="auto"/>
        <w:tabs>
          <w:tab w:leader="none" w:pos="860" w:val="left"/>
        </w:tabs>
        <w:numPr>
          <w:ilvl w:val="0"/>
          <w:numId w:val="2"/>
        </w:numPr>
        <w:rPr>
          <w:rFonts w:ascii="Arial" w:cs="Arial" w:eastAsia="Arial" w:hAnsi="Arial"/>
          <w:sz w:val="18"/>
          <w:szCs w:val="18"/>
          <w:color w:val="auto"/>
        </w:rPr>
      </w:pPr>
      <w:r>
        <w:rPr>
          <w:rFonts w:ascii="Arial" w:cs="Arial" w:eastAsia="Arial" w:hAnsi="Arial"/>
          <w:sz w:val="18"/>
          <w:szCs w:val="18"/>
          <w:i w:val="1"/>
          <w:iCs w:val="1"/>
          <w:color w:val="auto"/>
        </w:rPr>
        <w:t>New Drug Application (NDA) accepted for filing by FDA with priority review and Prescription Drug User Fee Act (PDUFA) target action date of November 20, 2020</w:t>
      </w:r>
    </w:p>
    <w:p>
      <w:pPr>
        <w:spacing w:after="0" w:line="75" w:lineRule="exact"/>
        <w:rPr>
          <w:rFonts w:ascii="Arial" w:cs="Arial" w:eastAsia="Arial" w:hAnsi="Arial"/>
          <w:sz w:val="18"/>
          <w:szCs w:val="18"/>
          <w:color w:val="auto"/>
        </w:rPr>
      </w:pPr>
    </w:p>
    <w:p>
      <w:pPr>
        <w:ind w:left="860" w:right="220" w:hanging="432"/>
        <w:spacing w:after="0" w:line="263" w:lineRule="auto"/>
        <w:tabs>
          <w:tab w:leader="none" w:pos="860" w:val="left"/>
        </w:tabs>
        <w:numPr>
          <w:ilvl w:val="0"/>
          <w:numId w:val="2"/>
        </w:numPr>
        <w:rPr>
          <w:rFonts w:ascii="Arial" w:cs="Arial" w:eastAsia="Arial" w:hAnsi="Arial"/>
          <w:sz w:val="18"/>
          <w:szCs w:val="18"/>
          <w:color w:val="auto"/>
        </w:rPr>
      </w:pPr>
      <w:r>
        <w:rPr>
          <w:rFonts w:ascii="Arial" w:cs="Arial" w:eastAsia="Arial" w:hAnsi="Arial"/>
          <w:sz w:val="18"/>
          <w:szCs w:val="18"/>
          <w:i w:val="1"/>
          <w:iCs w:val="1"/>
          <w:color w:val="auto"/>
        </w:rPr>
        <w:t>Marketing Authorization Application (MAA) under review by EMA will follow a standard review timeline. EMA request for inspections, in addition to travel restrictions due to COVID-19, will delay EMA from completing its review within the framework of previously granted accelerated assessment.</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Lonafarnib in Hepatitis Delta Virus (HDV)</w:t>
      </w:r>
    </w:p>
    <w:p>
      <w:pPr>
        <w:spacing w:after="0" w:line="131" w:lineRule="exact"/>
        <w:rPr>
          <w:sz w:val="20"/>
          <w:szCs w:val="20"/>
          <w:color w:val="auto"/>
        </w:rPr>
      </w:pPr>
    </w:p>
    <w:p>
      <w:pPr>
        <w:ind w:left="860" w:hanging="432"/>
        <w:spacing w:after="0"/>
        <w:tabs>
          <w:tab w:leader="none" w:pos="86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Phase 3 D-LIVR study (N=400) continues to enroll and dose patients</w:t>
      </w:r>
    </w:p>
    <w:p>
      <w:pPr>
        <w:spacing w:after="0" w:line="130" w:lineRule="exact"/>
        <w:rPr>
          <w:rFonts w:ascii="Arial" w:cs="Arial" w:eastAsia="Arial" w:hAnsi="Arial"/>
          <w:sz w:val="18"/>
          <w:szCs w:val="18"/>
          <w:color w:val="auto"/>
        </w:rPr>
      </w:pPr>
    </w:p>
    <w:p>
      <w:pPr>
        <w:ind w:left="860" w:hanging="432"/>
        <w:spacing w:after="0"/>
        <w:tabs>
          <w:tab w:leader="none" w:pos="86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Full enrollment expected in 2021</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Peginterferon Lambda in HDV</w:t>
      </w:r>
    </w:p>
    <w:p>
      <w:pPr>
        <w:spacing w:after="0" w:line="131" w:lineRule="exact"/>
        <w:rPr>
          <w:sz w:val="20"/>
          <w:szCs w:val="20"/>
          <w:color w:val="auto"/>
        </w:rPr>
      </w:pPr>
    </w:p>
    <w:p>
      <w:pPr>
        <w:ind w:left="860" w:hanging="432"/>
        <w:spacing w:after="0"/>
        <w:tabs>
          <w:tab w:leader="none" w:pos="860" w:val="left"/>
        </w:tabs>
        <w:numPr>
          <w:ilvl w:val="0"/>
          <w:numId w:val="4"/>
        </w:numPr>
        <w:rPr>
          <w:rFonts w:ascii="Arial" w:cs="Arial" w:eastAsia="Arial" w:hAnsi="Arial"/>
          <w:sz w:val="17"/>
          <w:szCs w:val="17"/>
          <w:color w:val="auto"/>
        </w:rPr>
      </w:pPr>
      <w:r>
        <w:rPr>
          <w:rFonts w:ascii="Arial" w:cs="Arial" w:eastAsia="Arial" w:hAnsi="Arial"/>
          <w:sz w:val="17"/>
          <w:szCs w:val="17"/>
          <w:i w:val="1"/>
          <w:iCs w:val="1"/>
          <w:color w:val="auto"/>
        </w:rPr>
        <w:t>Phase 2 LIFT (combo with lonafarnib) end-of-treatment data planned for EASL 2020; end-of-study data planned for AASLD 2020</w:t>
      </w:r>
    </w:p>
    <w:p>
      <w:pPr>
        <w:spacing w:after="0" w:line="142" w:lineRule="exact"/>
        <w:rPr>
          <w:rFonts w:ascii="Arial" w:cs="Arial" w:eastAsia="Arial" w:hAnsi="Arial"/>
          <w:sz w:val="17"/>
          <w:szCs w:val="17"/>
          <w:color w:val="auto"/>
        </w:rPr>
      </w:pPr>
    </w:p>
    <w:p>
      <w:pPr>
        <w:ind w:left="860" w:hanging="432"/>
        <w:spacing w:after="0"/>
        <w:tabs>
          <w:tab w:leader="none" w:pos="860" w:val="left"/>
        </w:tabs>
        <w:numPr>
          <w:ilvl w:val="0"/>
          <w:numId w:val="4"/>
        </w:numPr>
        <w:rPr>
          <w:rFonts w:ascii="Arial" w:cs="Arial" w:eastAsia="Arial" w:hAnsi="Arial"/>
          <w:sz w:val="18"/>
          <w:szCs w:val="18"/>
          <w:color w:val="auto"/>
        </w:rPr>
      </w:pPr>
      <w:r>
        <w:rPr>
          <w:rFonts w:ascii="Arial" w:cs="Arial" w:eastAsia="Arial" w:hAnsi="Arial"/>
          <w:sz w:val="18"/>
          <w:szCs w:val="18"/>
          <w:i w:val="1"/>
          <w:iCs w:val="1"/>
          <w:color w:val="auto"/>
        </w:rPr>
        <w:t>Single, Phase 3 study design agreement with FDA and EMA</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Peginterferon Lambda in COVID-19</w:t>
      </w:r>
    </w:p>
    <w:p>
      <w:pPr>
        <w:spacing w:after="0" w:line="131" w:lineRule="exact"/>
        <w:rPr>
          <w:sz w:val="20"/>
          <w:szCs w:val="20"/>
          <w:color w:val="auto"/>
        </w:rPr>
      </w:pPr>
    </w:p>
    <w:p>
      <w:pPr>
        <w:ind w:left="860" w:hanging="432"/>
        <w:spacing w:after="0"/>
        <w:tabs>
          <w:tab w:leader="none" w:pos="86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Six International Investigator Sponsored Studies in progress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Second Quarter 2020 Financial Results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Cash, cash equivalents, and short-term investments as of June 30, 2020 totaled $90.8 million.</w:t>
      </w:r>
    </w:p>
    <w:p>
      <w:pPr>
        <w:spacing w:after="0" w:line="225" w:lineRule="exact"/>
        <w:rPr>
          <w:sz w:val="20"/>
          <w:szCs w:val="20"/>
          <w:color w:val="auto"/>
        </w:rPr>
      </w:pPr>
    </w:p>
    <w:p>
      <w:pPr>
        <w:ind w:right="480"/>
        <w:spacing w:after="0" w:line="277" w:lineRule="auto"/>
        <w:rPr>
          <w:sz w:val="20"/>
          <w:szCs w:val="20"/>
          <w:color w:val="auto"/>
        </w:rPr>
      </w:pPr>
      <w:r>
        <w:rPr>
          <w:rFonts w:ascii="Arial" w:cs="Arial" w:eastAsia="Arial" w:hAnsi="Arial"/>
          <w:sz w:val="18"/>
          <w:szCs w:val="18"/>
          <w:color w:val="auto"/>
        </w:rPr>
        <w:t>The Company reported net loss of $15.3 million, or $0.60 per share, for second quarter 2020, as compared to $17.5 million, or $0.75 per share, for second quarter 2019.</w:t>
      </w:r>
    </w:p>
    <w:p>
      <w:pPr>
        <w:sectPr>
          <w:pgSz w:w="11900" w:h="16838" w:orient="portrait"/>
          <w:cols w:equalWidth="0" w:num="1">
            <w:col w:w="11020"/>
          </w:cols>
          <w:pgMar w:left="440" w:top="121" w:right="439" w:bottom="1440" w:gutter="0" w:footer="0" w:header="0"/>
        </w:sectPr>
      </w:pPr>
    </w:p>
    <w:bookmarkStart w:id="5" w:name="page6"/>
    <w:bookmarkEnd w:id="5"/>
    <w:p>
      <w:pPr>
        <w:ind w:right="260"/>
        <w:spacing w:after="0" w:line="30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49465" cy="26035"/>
                    </a:xfrm>
                    <a:prstGeom prst="rect">
                      <a:avLst/>
                    </a:prstGeom>
                    <a:noFill/>
                  </pic:spPr>
                </pic:pic>
              </a:graphicData>
            </a:graphic>
          </wp:anchor>
        </w:drawing>
        <w:t>Research and Development expenses were $9.8 million for second quarter 2020, as compared to $12.9 million for second quarter 2019. The decrease was primarily due to a decrease in regulatory expenses and lower clinical trial related expenses, including clinical material costs.</w:t>
      </w:r>
    </w:p>
    <w:p>
      <w:pPr>
        <w:spacing w:after="0" w:line="146"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General and Administrative expenses were $4.9 million for second quarter 2020, as compared to $4.2 million for second quarter 2019. The increase was primarily due to an increase in outside legal, consulting, advisory and accounting services.</w:t>
      </w:r>
    </w:p>
    <w:p>
      <w:pPr>
        <w:spacing w:after="0" w:line="170"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color w:val="auto"/>
        </w:rPr>
        <w:t>Total operating expenses include total non-cash expenses of $1.8 million for second quarter 2020, as compared to $1.8 million for the same period in 2019.</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As of June 30, 2020, the Company had 27,241,640 of common shares outstanding.</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Eiger</w:t>
      </w:r>
    </w:p>
    <w:p>
      <w:pPr>
        <w:spacing w:after="0" w:line="121" w:lineRule="exact"/>
        <w:rPr>
          <w:sz w:val="20"/>
          <w:szCs w:val="20"/>
          <w:color w:val="auto"/>
        </w:rPr>
      </w:pPr>
    </w:p>
    <w:p>
      <w:pPr>
        <w:ind w:right="500"/>
        <w:spacing w:after="0" w:line="277" w:lineRule="auto"/>
        <w:rPr>
          <w:sz w:val="20"/>
          <w:szCs w:val="20"/>
          <w:color w:val="auto"/>
        </w:rPr>
      </w:pPr>
      <w:r>
        <w:rPr>
          <w:rFonts w:ascii="Arial" w:cs="Arial" w:eastAsia="Arial" w:hAnsi="Arial"/>
          <w:sz w:val="18"/>
          <w:szCs w:val="18"/>
          <w:color w:val="auto"/>
        </w:rPr>
        <w:t>Eiger is a late-stage biopharmaceutical company focused on the development and commercialization of first-in-class, well-characterized drugs for serious rare and ultra-rare diseases for patients with high unmet medical needs.</w:t>
      </w:r>
    </w:p>
    <w:p>
      <w:pPr>
        <w:spacing w:after="0" w:line="170" w:lineRule="exact"/>
        <w:rPr>
          <w:sz w:val="20"/>
          <w:szCs w:val="20"/>
          <w:color w:val="auto"/>
        </w:rPr>
      </w:pPr>
    </w:p>
    <w:p>
      <w:pPr>
        <w:ind w:right="380"/>
        <w:spacing w:after="0" w:line="263" w:lineRule="auto"/>
        <w:rPr>
          <w:sz w:val="20"/>
          <w:szCs w:val="20"/>
          <w:color w:val="auto"/>
        </w:rPr>
      </w:pPr>
      <w:r>
        <w:rPr>
          <w:rFonts w:ascii="Arial" w:cs="Arial" w:eastAsia="Arial" w:hAnsi="Arial"/>
          <w:sz w:val="18"/>
          <w:szCs w:val="18"/>
          <w:color w:val="auto"/>
        </w:rPr>
        <w:t>Eiger’s lead clinical programs target Hepatitis Delta Virus (HDV) infection, the most serious form of human viral hepatitis. Eiger is developing two complementary treatments for HDV. Lonafarnib is a first-in-class, oral prenylation inhibitor in a global Phase 3 trial. Peginterferon lambda is a first-in-class, well-tolerated type III interferon entering Phase 3.</w:t>
      </w:r>
    </w:p>
    <w:p>
      <w:pPr>
        <w:spacing w:after="0" w:line="184" w:lineRule="exact"/>
        <w:rPr>
          <w:sz w:val="20"/>
          <w:szCs w:val="20"/>
          <w:color w:val="auto"/>
        </w:rPr>
      </w:pPr>
    </w:p>
    <w:p>
      <w:pPr>
        <w:ind w:right="620"/>
        <w:spacing w:after="0" w:line="277" w:lineRule="auto"/>
        <w:rPr>
          <w:sz w:val="20"/>
          <w:szCs w:val="20"/>
          <w:color w:val="auto"/>
        </w:rPr>
      </w:pPr>
      <w:r>
        <w:rPr>
          <w:rFonts w:ascii="Arial" w:cs="Arial" w:eastAsia="Arial" w:hAnsi="Arial"/>
          <w:sz w:val="18"/>
          <w:szCs w:val="18"/>
          <w:color w:val="auto"/>
        </w:rPr>
        <w:t>Eiger has filed an NDA and MAA for lonafarnib for the treatment of Hutchinson-Gilford Progeria Syndrome (HGPS or Progeria) and Progeroid Laminopathies. FDA PDUFA date is November 20, 2020.</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For additional information about Eiger and its clinical programs, please visit </w:t>
      </w:r>
      <w:r>
        <w:rPr>
          <w:rFonts w:ascii="Arial" w:cs="Arial" w:eastAsia="Arial" w:hAnsi="Arial"/>
          <w:sz w:val="18"/>
          <w:szCs w:val="18"/>
          <w:u w:val="single" w:color="auto"/>
          <w:color w:val="auto"/>
        </w:rPr>
        <w:t>www.eigerbio.com</w:t>
      </w:r>
      <w:r>
        <w:rPr>
          <w:rFonts w:ascii="Arial" w:cs="Arial" w:eastAsia="Arial" w:hAnsi="Arial"/>
          <w:sz w:val="18"/>
          <w:szCs w:val="18"/>
          <w:color w:val="auto"/>
        </w:rPr>
        <w:t>.</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Regarding Forward-Looking Statements</w:t>
      </w:r>
    </w:p>
    <w:p>
      <w:pPr>
        <w:spacing w:after="0" w:line="121"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This press release contains “forward-looking” statements that involve substantial risks and uncertainties. All statements other than statements of historical facts, including statements regarding our future financial condition, timing for and outcomes of clinical results, business strategy and plans and objectives for future operations, are forward-looking statements. These forward-looking statements include terminology such as “believe,” “will,” “may,” “estimate,” “continue,” “anticipate,” “contemplate,” “intend,” “target,” “project,” “should,” “plan,” “expect,” “predict,” “could,” “potentially” or the negative of these terms. Forward-looking statements are our current statements regarding our intentions, beliefs, projections, outlook, analyses or current expectations concerning, among other things, our anticipating significant milestones in 2020 and 2021, the timing of our ongoing and planned clinical development, including the potential for approval of our lonafarnib product candidate in the U.S. and EU for Progeria and Progeroid Laminopathies; our progression and enrollment of our Phase 3 D-LIVR study in HDV; our ability to maintain supply of our clinical trial materials; our announcement of data from the trial of Lambda and lonafarnib boosted with ritonavir for HDV (LIFT); our plans to advance Lambda in HDV in the U.S. and EU; our plans for continued advancement of avexitide in registration trials; and our plans to initiate and conduct clinical studies of Lambda in coronavirus; our ability to transition into a commercial stage biopharmaceutical company; our ability to finance the</w:t>
      </w:r>
    </w:p>
    <w:p>
      <w:pPr>
        <w:sectPr>
          <w:pgSz w:w="11900" w:h="16838" w:orient="portrait"/>
          <w:cols w:equalWidth="0" w:num="1">
            <w:col w:w="11000"/>
          </w:cols>
          <w:pgMar w:left="440" w:top="274" w:right="459" w:bottom="1440" w:gutter="0" w:footer="0" w:header="0"/>
        </w:sectPr>
      </w:pPr>
    </w:p>
    <w:bookmarkStart w:id="6" w:name="page7"/>
    <w:bookmarkEnd w:id="6"/>
    <w:p>
      <w:pPr>
        <w:ind w:left="4" w:right="14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49465" cy="25400"/>
                    </a:xfrm>
                    <a:prstGeom prst="rect">
                      <a:avLst/>
                    </a:prstGeom>
                    <a:noFill/>
                  </pic:spPr>
                </pic:pic>
              </a:graphicData>
            </a:graphic>
          </wp:anchor>
        </w:drawing>
        <w:t>continued advancement of our development pipeline products; that the company’s expectations regarding the effects of COVID-19 on the Company’s trials and development may be incorrect; and the potential for success of any of our product candidates. These statements concern product candidates that have not yet been approved for marketing by the U.S. Food and Drug Administration (FDA). No representation is made as to their safety or effectiveness for the purposes for which they are being investigated.</w:t>
      </w:r>
    </w:p>
    <w:p>
      <w:pPr>
        <w:spacing w:after="0" w:line="187" w:lineRule="exact"/>
        <w:rPr>
          <w:sz w:val="20"/>
          <w:szCs w:val="20"/>
          <w:color w:val="auto"/>
        </w:rPr>
      </w:pPr>
    </w:p>
    <w:p>
      <w:pPr>
        <w:ind w:left="4"/>
        <w:spacing w:after="0" w:line="296" w:lineRule="auto"/>
        <w:rPr>
          <w:sz w:val="20"/>
          <w:szCs w:val="20"/>
          <w:color w:val="auto"/>
        </w:rPr>
      </w:pPr>
      <w:r>
        <w:rPr>
          <w:rFonts w:ascii="Arial" w:cs="Arial" w:eastAsia="Arial" w:hAnsi="Arial"/>
          <w:sz w:val="16"/>
          <w:szCs w:val="16"/>
          <w:color w:val="auto"/>
        </w:rPr>
        <w:t>Various important factors could cause actual results or events to differ materially from the forward-looking statements that Eiger makes, including additional applicable risks and uncertainties described in the “Risk Factors” sections in the Quarterly Report on Form 10-Q for the quarter ended June 30, 2020 and Eiger’s subsequent filings with the SEC. The forward-looking statements contained in this press release are based on information currently available to Eiger and speak only as of the date on which they are made. Eiger does not undertake and specifically disclaims any obligation to update any forward-looking statements, whether as a result of any new information, future events, changed circumstances or otherwise.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128905</wp:posOffset>
            </wp:positionV>
            <wp:extent cx="2211705" cy="6515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2211705" cy="6515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4"/>
        <w:spacing w:after="0"/>
        <w:rPr>
          <w:sz w:val="20"/>
          <w:szCs w:val="20"/>
          <w:color w:val="auto"/>
        </w:rPr>
      </w:pPr>
      <w:r>
        <w:rPr>
          <w:rFonts w:ascii="Arial" w:cs="Arial" w:eastAsia="Arial" w:hAnsi="Arial"/>
          <w:sz w:val="18"/>
          <w:szCs w:val="18"/>
          <w:color w:val="auto"/>
        </w:rPr>
        <w:t>SOURCE Eiger BioPharmaceuticals, Inc.</w:t>
      </w:r>
    </w:p>
    <w:p>
      <w:pPr>
        <w:spacing w:after="0" w:line="221" w:lineRule="exact"/>
        <w:rPr>
          <w:sz w:val="20"/>
          <w:szCs w:val="20"/>
          <w:color w:val="auto"/>
        </w:rPr>
      </w:pPr>
    </w:p>
    <w:p>
      <w:pPr>
        <w:ind w:left="4"/>
        <w:spacing w:after="0"/>
        <w:rPr>
          <w:sz w:val="20"/>
          <w:szCs w:val="20"/>
          <w:color w:val="auto"/>
        </w:rPr>
      </w:pPr>
      <w:r>
        <w:rPr>
          <w:rFonts w:ascii="Arial" w:cs="Arial" w:eastAsia="Arial" w:hAnsi="Arial"/>
          <w:sz w:val="18"/>
          <w:szCs w:val="18"/>
          <w:b w:val="1"/>
          <w:bCs w:val="1"/>
          <w:color w:val="auto"/>
        </w:rPr>
        <w:t>Investors and Media:</w:t>
      </w:r>
    </w:p>
    <w:p>
      <w:pPr>
        <w:spacing w:after="0" w:line="27" w:lineRule="exact"/>
        <w:rPr>
          <w:sz w:val="20"/>
          <w:szCs w:val="20"/>
          <w:color w:val="auto"/>
        </w:rPr>
      </w:pPr>
    </w:p>
    <w:p>
      <w:pPr>
        <w:ind w:left="4"/>
        <w:spacing w:after="0"/>
        <w:rPr>
          <w:sz w:val="20"/>
          <w:szCs w:val="20"/>
          <w:color w:val="auto"/>
        </w:rPr>
      </w:pPr>
      <w:r>
        <w:rPr>
          <w:rFonts w:ascii="Arial" w:cs="Arial" w:eastAsia="Arial" w:hAnsi="Arial"/>
          <w:sz w:val="18"/>
          <w:szCs w:val="18"/>
          <w:color w:val="auto"/>
        </w:rPr>
        <w:t>Ingrid Choong, PhD</w:t>
      </w:r>
    </w:p>
    <w:p>
      <w:pPr>
        <w:spacing w:after="0" w:line="9" w:lineRule="exact"/>
        <w:rPr>
          <w:sz w:val="20"/>
          <w:szCs w:val="20"/>
          <w:color w:val="auto"/>
        </w:rPr>
      </w:pPr>
    </w:p>
    <w:p>
      <w:pPr>
        <w:ind w:left="4" w:right="9220" w:hanging="4"/>
        <w:spacing w:after="0" w:line="323" w:lineRule="auto"/>
        <w:tabs>
          <w:tab w:leader="none" w:pos="439" w:val="left"/>
        </w:tabs>
        <w:numPr>
          <w:ilvl w:val="0"/>
          <w:numId w:val="6"/>
        </w:numPr>
        <w:rPr>
          <w:rFonts w:ascii="Arial" w:cs="Arial" w:eastAsia="Arial" w:hAnsi="Arial"/>
          <w:sz w:val="16"/>
          <w:szCs w:val="16"/>
          <w:color w:val="auto"/>
        </w:rPr>
      </w:pPr>
      <w:r>
        <w:rPr>
          <w:rFonts w:ascii="Arial" w:cs="Arial" w:eastAsia="Arial" w:hAnsi="Arial"/>
          <w:sz w:val="16"/>
          <w:szCs w:val="16"/>
          <w:color w:val="auto"/>
        </w:rPr>
        <w:t xml:space="preserve">619-6115 </w:t>
      </w:r>
      <w:r>
        <w:rPr>
          <w:rFonts w:ascii="Arial" w:cs="Arial" w:eastAsia="Arial" w:hAnsi="Arial"/>
          <w:sz w:val="16"/>
          <w:szCs w:val="16"/>
          <w:u w:val="single" w:color="auto"/>
          <w:color w:val="auto"/>
        </w:rPr>
        <w:t>ichoong@eigerbio.com</w:t>
      </w:r>
    </w:p>
    <w:p>
      <w:pPr>
        <w:spacing w:after="0" w:line="138" w:lineRule="exact"/>
        <w:rPr>
          <w:sz w:val="20"/>
          <w:szCs w:val="20"/>
          <w:color w:val="auto"/>
        </w:rPr>
      </w:pPr>
    </w:p>
    <w:p>
      <w:pPr>
        <w:ind w:left="4"/>
        <w:spacing w:after="0"/>
        <w:rPr>
          <w:sz w:val="20"/>
          <w:szCs w:val="20"/>
          <w:color w:val="auto"/>
        </w:rPr>
      </w:pPr>
      <w:r>
        <w:rPr>
          <w:rFonts w:ascii="Arial" w:cs="Arial" w:eastAsia="Arial" w:hAnsi="Arial"/>
          <w:sz w:val="18"/>
          <w:szCs w:val="18"/>
          <w:color w:val="auto"/>
        </w:rPr>
        <w:t>Sri Ryali</w:t>
      </w:r>
    </w:p>
    <w:p>
      <w:pPr>
        <w:spacing w:after="0" w:line="23" w:lineRule="exact"/>
        <w:rPr>
          <w:sz w:val="20"/>
          <w:szCs w:val="20"/>
          <w:color w:val="auto"/>
        </w:rPr>
      </w:pPr>
    </w:p>
    <w:p>
      <w:pPr>
        <w:ind w:left="4" w:right="9400" w:hanging="4"/>
        <w:spacing w:after="0" w:line="323" w:lineRule="auto"/>
        <w:tabs>
          <w:tab w:leader="none" w:pos="439" w:val="left"/>
        </w:tabs>
        <w:numPr>
          <w:ilvl w:val="0"/>
          <w:numId w:val="7"/>
        </w:numPr>
        <w:rPr>
          <w:rFonts w:ascii="Arial" w:cs="Arial" w:eastAsia="Arial" w:hAnsi="Arial"/>
          <w:sz w:val="16"/>
          <w:szCs w:val="16"/>
          <w:color w:val="auto"/>
        </w:rPr>
      </w:pPr>
      <w:r>
        <w:rPr>
          <w:rFonts w:ascii="Arial" w:cs="Arial" w:eastAsia="Arial" w:hAnsi="Arial"/>
          <w:sz w:val="16"/>
          <w:szCs w:val="16"/>
          <w:color w:val="auto"/>
        </w:rPr>
        <w:t xml:space="preserve">272-6138 </w:t>
      </w:r>
      <w:r>
        <w:rPr>
          <w:rFonts w:ascii="Arial" w:cs="Arial" w:eastAsia="Arial" w:hAnsi="Arial"/>
          <w:sz w:val="16"/>
          <w:szCs w:val="16"/>
          <w:u w:val="single" w:color="auto"/>
          <w:color w:val="auto"/>
        </w:rPr>
        <w:t>sryali@eigerbio.com</w:t>
      </w:r>
    </w:p>
    <w:p>
      <w:pPr>
        <w:sectPr>
          <w:pgSz w:w="11900" w:h="16838" w:orient="portrait"/>
          <w:cols w:equalWidth="0" w:num="1">
            <w:col w:w="10904"/>
          </w:cols>
          <w:pgMar w:left="436" w:top="274" w:right="559" w:bottom="1440" w:gutter="0" w:footer="0" w:header="0"/>
        </w:sectPr>
      </w:pPr>
    </w:p>
    <w:bookmarkStart w:id="7" w:name="page8"/>
    <w:bookmarkEnd w:id="7"/>
    <w:p>
      <w:pPr>
        <w:jc w:val="center"/>
        <w:ind w:right="-3"/>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49465" cy="25400"/>
                    </a:xfrm>
                    <a:prstGeom prst="rect">
                      <a:avLst/>
                    </a:prstGeom>
                    <a:noFill/>
                  </pic:spPr>
                </pic:pic>
              </a:graphicData>
            </a:graphic>
          </wp:anchor>
        </w:drawing>
        <w:t>Eiger BioPharmaceuticals Inc.</w:t>
      </w:r>
    </w:p>
    <w:p>
      <w:pPr>
        <w:spacing w:after="0" w:line="27" w:lineRule="exact"/>
        <w:rPr>
          <w:sz w:val="20"/>
          <w:szCs w:val="20"/>
          <w:color w:val="auto"/>
        </w:rPr>
      </w:pPr>
    </w:p>
    <w:p>
      <w:pPr>
        <w:jc w:val="center"/>
        <w:ind w:right="-3"/>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9"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(in thousands)</w:t>
      </w:r>
    </w:p>
    <w:p>
      <w:pPr>
        <w:spacing w:after="0" w:line="217" w:lineRule="exact"/>
        <w:rPr>
          <w:sz w:val="20"/>
          <w:szCs w:val="20"/>
          <w:color w:val="auto"/>
        </w:rPr>
      </w:pPr>
    </w:p>
    <w:tbl>
      <w:tblPr>
        <w:tblLayout w:type="fixed"/>
        <w:tblInd w:w="4" w:type="dxa"/>
        <w:tblCellMar>
          <w:top w:w="0" w:type="dxa"/>
          <w:left w:w="0" w:type="dxa"/>
          <w:bottom w:w="0" w:type="dxa"/>
          <w:right w:w="0" w:type="dxa"/>
        </w:tblCellMar>
      </w:tblPr>
      <w:tr>
        <w:trPr>
          <w:trHeight w:val="161"/>
        </w:trPr>
        <w:tc>
          <w:tcPr>
            <w:tcW w:w="8420" w:type="dxa"/>
            <w:vAlign w:val="bottom"/>
          </w:tcPr>
          <w:p>
            <w:pPr>
              <w:spacing w:after="0"/>
              <w:rPr>
                <w:sz w:val="14"/>
                <w:szCs w:val="14"/>
                <w:color w:val="auto"/>
              </w:rPr>
            </w:pPr>
          </w:p>
        </w:tc>
        <w:tc>
          <w:tcPr>
            <w:tcW w:w="1700" w:type="dxa"/>
            <w:vAlign w:val="bottom"/>
            <w:gridSpan w:val="4"/>
          </w:tcPr>
          <w:p>
            <w:pPr>
              <w:spacing w:after="0"/>
              <w:rPr>
                <w:sz w:val="20"/>
                <w:szCs w:val="20"/>
                <w:color w:val="auto"/>
              </w:rPr>
            </w:pPr>
            <w:r>
              <w:rPr>
                <w:rFonts w:ascii="Arial" w:cs="Arial" w:eastAsia="Arial" w:hAnsi="Arial"/>
                <w:sz w:val="14"/>
                <w:szCs w:val="14"/>
                <w:b w:val="1"/>
                <w:bCs w:val="1"/>
                <w:color w:val="auto"/>
              </w:rPr>
              <w:t>Six Months Ended</w:t>
            </w:r>
          </w:p>
        </w:tc>
        <w:tc>
          <w:tcPr>
            <w:tcW w:w="900" w:type="dxa"/>
            <w:vAlign w:val="bottom"/>
            <w:gridSpan w:val="3"/>
          </w:tcPr>
          <w:p>
            <w:pPr>
              <w:ind w:left="60"/>
              <w:spacing w:after="0"/>
              <w:rPr>
                <w:sz w:val="20"/>
                <w:szCs w:val="20"/>
                <w:color w:val="auto"/>
              </w:rPr>
            </w:pPr>
            <w:r>
              <w:rPr>
                <w:rFonts w:ascii="Arial" w:cs="Arial" w:eastAsia="Arial" w:hAnsi="Arial"/>
                <w:sz w:val="14"/>
                <w:szCs w:val="14"/>
                <w:b w:val="1"/>
                <w:bCs w:val="1"/>
                <w:color w:val="auto"/>
              </w:rPr>
              <w:t>Year Ended</w:t>
            </w:r>
          </w:p>
        </w:tc>
        <w:tc>
          <w:tcPr>
            <w:tcW w:w="0" w:type="dxa"/>
            <w:vAlign w:val="bottom"/>
          </w:tcPr>
          <w:p>
            <w:pPr>
              <w:spacing w:after="0"/>
              <w:rPr>
                <w:sz w:val="1"/>
                <w:szCs w:val="1"/>
                <w:color w:val="auto"/>
              </w:rPr>
            </w:pPr>
          </w:p>
        </w:tc>
      </w:tr>
      <w:tr>
        <w:trPr>
          <w:trHeight w:val="171"/>
        </w:trPr>
        <w:tc>
          <w:tcPr>
            <w:tcW w:w="84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540" w:type="dxa"/>
            <w:vAlign w:val="bottom"/>
            <w:gridSpan w:val="3"/>
          </w:tcPr>
          <w:p>
            <w:pPr>
              <w:jc w:val="center"/>
              <w:ind w:right="720"/>
              <w:spacing w:after="0"/>
              <w:rPr>
                <w:sz w:val="20"/>
                <w:szCs w:val="20"/>
                <w:color w:val="auto"/>
              </w:rPr>
            </w:pPr>
            <w:r>
              <w:rPr>
                <w:rFonts w:ascii="Arial" w:cs="Arial" w:eastAsia="Arial" w:hAnsi="Arial"/>
                <w:sz w:val="14"/>
                <w:szCs w:val="14"/>
                <w:b w:val="1"/>
                <w:bCs w:val="1"/>
                <w:color w:val="auto"/>
                <w:w w:val="89"/>
              </w:rPr>
              <w:t>June 30,</w:t>
            </w:r>
          </w:p>
        </w:tc>
        <w:tc>
          <w:tcPr>
            <w:tcW w:w="900" w:type="dxa"/>
            <w:vAlign w:val="bottom"/>
            <w:gridSpan w:val="3"/>
          </w:tcPr>
          <w:p>
            <w:pPr>
              <w:spacing w:after="0"/>
              <w:rPr>
                <w:sz w:val="20"/>
                <w:szCs w:val="20"/>
                <w:color w:val="auto"/>
              </w:rPr>
            </w:pPr>
            <w:r>
              <w:rPr>
                <w:rFonts w:ascii="Arial" w:cs="Arial" w:eastAsia="Arial" w:hAnsi="Arial"/>
                <w:sz w:val="14"/>
                <w:szCs w:val="14"/>
                <w:b w:val="1"/>
                <w:bCs w:val="1"/>
                <w:color w:val="auto"/>
                <w:w w:val="96"/>
              </w:rPr>
              <w:t>December 31,</w:t>
            </w:r>
          </w:p>
        </w:tc>
        <w:tc>
          <w:tcPr>
            <w:tcW w:w="0" w:type="dxa"/>
            <w:vAlign w:val="bottom"/>
          </w:tcPr>
          <w:p>
            <w:pPr>
              <w:spacing w:after="0"/>
              <w:rPr>
                <w:sz w:val="1"/>
                <w:szCs w:val="1"/>
                <w:color w:val="auto"/>
              </w:rPr>
            </w:pPr>
          </w:p>
        </w:tc>
      </w:tr>
      <w:tr>
        <w:trPr>
          <w:trHeight w:val="142"/>
        </w:trPr>
        <w:tc>
          <w:tcPr>
            <w:tcW w:w="842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980" w:type="dxa"/>
            <w:vAlign w:val="bottom"/>
            <w:tcBorders>
              <w:top w:val="single" w:sz="8" w:color="auto"/>
              <w:bottom w:val="single" w:sz="8" w:color="auto"/>
            </w:tcBorders>
          </w:tcPr>
          <w:p>
            <w:pPr>
              <w:jc w:val="center"/>
              <w:ind w:right="74"/>
              <w:spacing w:after="0" w:line="142" w:lineRule="exact"/>
              <w:rPr>
                <w:sz w:val="20"/>
                <w:szCs w:val="20"/>
                <w:color w:val="auto"/>
              </w:rPr>
            </w:pPr>
            <w:r>
              <w:rPr>
                <w:rFonts w:ascii="Arial" w:cs="Arial" w:eastAsia="Arial" w:hAnsi="Arial"/>
                <w:sz w:val="14"/>
                <w:szCs w:val="14"/>
                <w:b w:val="1"/>
                <w:bCs w:val="1"/>
                <w:color w:val="auto"/>
                <w:w w:val="96"/>
              </w:rPr>
              <w:t>2020</w:t>
            </w:r>
          </w:p>
        </w:tc>
        <w:tc>
          <w:tcPr>
            <w:tcW w:w="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2019</w:t>
            </w:r>
            <w:r>
              <w:rPr>
                <w:rFonts w:ascii="Arial" w:cs="Arial" w:eastAsia="Arial" w:hAnsi="Arial"/>
                <w:sz w:val="12"/>
                <w:szCs w:val="12"/>
                <w:b w:val="1"/>
                <w:bCs w:val="1"/>
                <w:color w:val="auto"/>
              </w:rPr>
              <w:t>(1)</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8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tcPr>
          <w:p>
            <w:pPr>
              <w:jc w:val="center"/>
              <w:ind w:right="54"/>
              <w:spacing w:after="0" w:line="142" w:lineRule="exact"/>
              <w:rPr>
                <w:sz w:val="20"/>
                <w:szCs w:val="20"/>
                <w:color w:val="auto"/>
              </w:rPr>
            </w:pPr>
            <w:r>
              <w:rPr>
                <w:rFonts w:ascii="Arial" w:cs="Arial" w:eastAsia="Arial" w:hAnsi="Arial"/>
                <w:sz w:val="14"/>
                <w:szCs w:val="14"/>
                <w:b w:val="1"/>
                <w:bCs w:val="1"/>
                <w:color w:val="auto"/>
                <w:w w:val="94"/>
              </w:rPr>
              <w:t>(unaudited)</w:t>
            </w:r>
          </w:p>
        </w:tc>
        <w:tc>
          <w:tcPr>
            <w:tcW w:w="560" w:type="dxa"/>
            <w:vAlign w:val="bottom"/>
            <w:gridSpan w:val="2"/>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8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420" w:type="dxa"/>
            <w:vAlign w:val="bottom"/>
          </w:tcPr>
          <w:p>
            <w:pPr>
              <w:spacing w:after="0"/>
              <w:rPr>
                <w:sz w:val="20"/>
                <w:szCs w:val="20"/>
                <w:color w:val="auto"/>
              </w:rPr>
            </w:pPr>
            <w:r>
              <w:rPr>
                <w:rFonts w:ascii="Arial" w:cs="Arial" w:eastAsia="Arial" w:hAnsi="Arial"/>
                <w:sz w:val="18"/>
                <w:szCs w:val="18"/>
                <w:color w:val="auto"/>
              </w:rPr>
              <w:t>Cash and cash equivalents</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62,813</w:t>
            </w:r>
          </w:p>
        </w:tc>
        <w:tc>
          <w:tcPr>
            <w:tcW w:w="540" w:type="dxa"/>
            <w:vAlign w:val="bottom"/>
          </w:tcPr>
          <w:p>
            <w:pPr>
              <w:spacing w:after="0"/>
              <w:rPr>
                <w:sz w:val="18"/>
                <w:szCs w:val="18"/>
                <w:color w:val="auto"/>
              </w:rPr>
            </w:pP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rPr>
              <w:t>39,373</w:t>
            </w:r>
          </w:p>
        </w:tc>
        <w:tc>
          <w:tcPr>
            <w:tcW w:w="0" w:type="dxa"/>
            <w:vAlign w:val="bottom"/>
          </w:tcPr>
          <w:p>
            <w:pPr>
              <w:spacing w:after="0"/>
              <w:rPr>
                <w:sz w:val="1"/>
                <w:szCs w:val="1"/>
                <w:color w:val="auto"/>
              </w:rPr>
            </w:pPr>
          </w:p>
        </w:tc>
      </w:tr>
      <w:tr>
        <w:trPr>
          <w:trHeight w:val="216"/>
        </w:trPr>
        <w:tc>
          <w:tcPr>
            <w:tcW w:w="8420" w:type="dxa"/>
            <w:vAlign w:val="bottom"/>
            <w:shd w:val="clear" w:color="auto" w:fill="CCEEFF"/>
          </w:tcPr>
          <w:p>
            <w:pPr>
              <w:spacing w:after="0"/>
              <w:rPr>
                <w:sz w:val="20"/>
                <w:szCs w:val="20"/>
                <w:color w:val="auto"/>
              </w:rPr>
            </w:pPr>
            <w:r>
              <w:rPr>
                <w:rFonts w:ascii="Arial" w:cs="Arial" w:eastAsia="Arial" w:hAnsi="Arial"/>
                <w:sz w:val="18"/>
                <w:szCs w:val="18"/>
                <w:color w:val="auto"/>
              </w:rPr>
              <w:t>Debt securities, available-for-sale</w:t>
            </w:r>
          </w:p>
        </w:tc>
        <w:tc>
          <w:tcPr>
            <w:tcW w:w="1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27,962</w:t>
            </w: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55,621</w:t>
            </w:r>
          </w:p>
        </w:tc>
        <w:tc>
          <w:tcPr>
            <w:tcW w:w="0" w:type="dxa"/>
            <w:vAlign w:val="bottom"/>
          </w:tcPr>
          <w:p>
            <w:pPr>
              <w:spacing w:after="0"/>
              <w:rPr>
                <w:sz w:val="1"/>
                <w:szCs w:val="1"/>
                <w:color w:val="auto"/>
              </w:rPr>
            </w:pPr>
          </w:p>
        </w:tc>
      </w:tr>
      <w:tr>
        <w:trPr>
          <w:trHeight w:val="223"/>
        </w:trPr>
        <w:tc>
          <w:tcPr>
            <w:tcW w:w="8420" w:type="dxa"/>
            <w:vAlign w:val="bottom"/>
          </w:tcPr>
          <w:p>
            <w:pPr>
              <w:spacing w:after="0"/>
              <w:rPr>
                <w:sz w:val="20"/>
                <w:szCs w:val="20"/>
                <w:color w:val="auto"/>
              </w:rPr>
            </w:pPr>
            <w:r>
              <w:rPr>
                <w:rFonts w:ascii="Arial" w:cs="Arial" w:eastAsia="Arial" w:hAnsi="Arial"/>
                <w:sz w:val="18"/>
                <w:szCs w:val="18"/>
                <w:color w:val="auto"/>
              </w:rPr>
              <w:t>Prepaid expenses and other current assets</w:t>
            </w:r>
          </w:p>
        </w:tc>
        <w:tc>
          <w:tcPr>
            <w:tcW w:w="1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6,564</w:t>
            </w:r>
          </w:p>
        </w:tc>
        <w:tc>
          <w:tcPr>
            <w:tcW w:w="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5,390</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4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Total current assets</w:t>
            </w:r>
          </w:p>
        </w:tc>
        <w:tc>
          <w:tcPr>
            <w:tcW w:w="1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97,339</w:t>
            </w: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100,384</w:t>
            </w:r>
          </w:p>
        </w:tc>
        <w:tc>
          <w:tcPr>
            <w:tcW w:w="0" w:type="dxa"/>
            <w:vAlign w:val="bottom"/>
          </w:tcPr>
          <w:p>
            <w:pPr>
              <w:spacing w:after="0"/>
              <w:rPr>
                <w:sz w:val="1"/>
                <w:szCs w:val="1"/>
                <w:color w:val="auto"/>
              </w:rPr>
            </w:pPr>
          </w:p>
        </w:tc>
      </w:tr>
      <w:tr>
        <w:trPr>
          <w:trHeight w:val="216"/>
        </w:trPr>
        <w:tc>
          <w:tcPr>
            <w:tcW w:w="8420" w:type="dxa"/>
            <w:vAlign w:val="bottom"/>
          </w:tcPr>
          <w:p>
            <w:pPr>
              <w:spacing w:after="0"/>
              <w:rPr>
                <w:sz w:val="20"/>
                <w:szCs w:val="20"/>
                <w:color w:val="auto"/>
              </w:rPr>
            </w:pPr>
            <w:r>
              <w:rPr>
                <w:rFonts w:ascii="Arial" w:cs="Arial" w:eastAsia="Arial" w:hAnsi="Arial"/>
                <w:sz w:val="18"/>
                <w:szCs w:val="18"/>
                <w:color w:val="auto"/>
              </w:rPr>
              <w:t>Property and equipment, net</w:t>
            </w:r>
          </w:p>
        </w:tc>
        <w:tc>
          <w:tcPr>
            <w:tcW w:w="160" w:type="dxa"/>
            <w:vAlign w:val="bottom"/>
          </w:tcPr>
          <w:p>
            <w:pPr>
              <w:spacing w:after="0"/>
              <w:rPr>
                <w:sz w:val="18"/>
                <w:szCs w:val="18"/>
                <w:color w:val="auto"/>
              </w:rPr>
            </w:pP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616</w:t>
            </w: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rPr>
              <w:t>590</w:t>
            </w:r>
          </w:p>
        </w:tc>
        <w:tc>
          <w:tcPr>
            <w:tcW w:w="0" w:type="dxa"/>
            <w:vAlign w:val="bottom"/>
          </w:tcPr>
          <w:p>
            <w:pPr>
              <w:spacing w:after="0"/>
              <w:rPr>
                <w:sz w:val="1"/>
                <w:szCs w:val="1"/>
                <w:color w:val="auto"/>
              </w:rPr>
            </w:pPr>
          </w:p>
        </w:tc>
      </w:tr>
      <w:tr>
        <w:trPr>
          <w:trHeight w:val="216"/>
        </w:trPr>
        <w:tc>
          <w:tcPr>
            <w:tcW w:w="8420" w:type="dxa"/>
            <w:vAlign w:val="bottom"/>
            <w:shd w:val="clear" w:color="auto" w:fill="CCEEFF"/>
          </w:tcPr>
          <w:p>
            <w:pPr>
              <w:spacing w:after="0"/>
              <w:rPr>
                <w:sz w:val="20"/>
                <w:szCs w:val="20"/>
                <w:color w:val="auto"/>
              </w:rPr>
            </w:pPr>
            <w:r>
              <w:rPr>
                <w:rFonts w:ascii="Arial" w:cs="Arial" w:eastAsia="Arial" w:hAnsi="Arial"/>
                <w:sz w:val="18"/>
                <w:szCs w:val="18"/>
                <w:color w:val="auto"/>
              </w:rPr>
              <w:t>Operating lease right-of-use assets</w:t>
            </w:r>
          </w:p>
        </w:tc>
        <w:tc>
          <w:tcPr>
            <w:tcW w:w="1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1,421</w:t>
            </w: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1,654</w:t>
            </w:r>
          </w:p>
        </w:tc>
        <w:tc>
          <w:tcPr>
            <w:tcW w:w="0" w:type="dxa"/>
            <w:vAlign w:val="bottom"/>
          </w:tcPr>
          <w:p>
            <w:pPr>
              <w:spacing w:after="0"/>
              <w:rPr>
                <w:sz w:val="1"/>
                <w:szCs w:val="1"/>
                <w:color w:val="auto"/>
              </w:rPr>
            </w:pPr>
          </w:p>
        </w:tc>
      </w:tr>
      <w:tr>
        <w:trPr>
          <w:trHeight w:val="223"/>
        </w:trPr>
        <w:tc>
          <w:tcPr>
            <w:tcW w:w="8420" w:type="dxa"/>
            <w:vAlign w:val="bottom"/>
          </w:tcPr>
          <w:p>
            <w:pPr>
              <w:spacing w:after="0"/>
              <w:rPr>
                <w:sz w:val="20"/>
                <w:szCs w:val="20"/>
                <w:color w:val="auto"/>
              </w:rPr>
            </w:pPr>
            <w:r>
              <w:rPr>
                <w:rFonts w:ascii="Arial" w:cs="Arial" w:eastAsia="Arial" w:hAnsi="Arial"/>
                <w:sz w:val="18"/>
                <w:szCs w:val="18"/>
                <w:color w:val="auto"/>
              </w:rPr>
              <w:t>Other assets</w:t>
            </w:r>
          </w:p>
        </w:tc>
        <w:tc>
          <w:tcPr>
            <w:tcW w:w="1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3,781</w:t>
            </w:r>
          </w:p>
        </w:tc>
        <w:tc>
          <w:tcPr>
            <w:tcW w:w="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2,511</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4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Total assets</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103,157</w:t>
            </w: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105,139</w:t>
            </w:r>
          </w:p>
        </w:tc>
        <w:tc>
          <w:tcPr>
            <w:tcW w:w="0" w:type="dxa"/>
            <w:vAlign w:val="bottom"/>
          </w:tcPr>
          <w:p>
            <w:pPr>
              <w:spacing w:after="0"/>
              <w:rPr>
                <w:sz w:val="1"/>
                <w:szCs w:val="1"/>
                <w:color w:val="auto"/>
              </w:rPr>
            </w:pPr>
          </w:p>
        </w:tc>
      </w:tr>
      <w:tr>
        <w:trPr>
          <w:trHeight w:val="20"/>
        </w:trPr>
        <w:tc>
          <w:tcPr>
            <w:tcW w:w="8420" w:type="dxa"/>
            <w:vAlign w:val="bottom"/>
            <w:vMerge w:val="restart"/>
          </w:tcPr>
          <w:p>
            <w:pPr>
              <w:spacing w:after="0"/>
              <w:rPr>
                <w:sz w:val="20"/>
                <w:szCs w:val="20"/>
                <w:color w:val="auto"/>
              </w:rPr>
            </w:pPr>
            <w:r>
              <w:rPr>
                <w:rFonts w:ascii="Arial" w:cs="Arial" w:eastAsia="Arial" w:hAnsi="Arial"/>
                <w:sz w:val="18"/>
                <w:szCs w:val="18"/>
                <w:b w:val="1"/>
                <w:bCs w:val="1"/>
                <w:color w:val="auto"/>
              </w:rPr>
              <w:t>LIABILITIES AND STOCKHOLDERS’ EQUITY</w:t>
            </w:r>
          </w:p>
        </w:tc>
        <w:tc>
          <w:tcPr>
            <w:tcW w:w="1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842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8420" w:type="dxa"/>
            <w:vAlign w:val="bottom"/>
            <w:shd w:val="clear" w:color="auto" w:fill="CCEEFF"/>
          </w:tcPr>
          <w:p>
            <w:pPr>
              <w:spacing w:after="0"/>
              <w:rPr>
                <w:sz w:val="20"/>
                <w:szCs w:val="20"/>
                <w:color w:val="auto"/>
              </w:rPr>
            </w:pPr>
            <w:r>
              <w:rPr>
                <w:rFonts w:ascii="Arial" w:cs="Arial" w:eastAsia="Arial" w:hAnsi="Arial"/>
                <w:sz w:val="18"/>
                <w:szCs w:val="18"/>
                <w:color w:val="auto"/>
              </w:rPr>
              <w:t>Current liabilities</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16,147</w:t>
            </w: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16,949</w:t>
            </w:r>
          </w:p>
        </w:tc>
        <w:tc>
          <w:tcPr>
            <w:tcW w:w="0" w:type="dxa"/>
            <w:vAlign w:val="bottom"/>
          </w:tcPr>
          <w:p>
            <w:pPr>
              <w:spacing w:after="0"/>
              <w:rPr>
                <w:sz w:val="1"/>
                <w:szCs w:val="1"/>
                <w:color w:val="auto"/>
              </w:rPr>
            </w:pPr>
          </w:p>
        </w:tc>
      </w:tr>
      <w:tr>
        <w:trPr>
          <w:trHeight w:val="216"/>
        </w:trPr>
        <w:tc>
          <w:tcPr>
            <w:tcW w:w="8420" w:type="dxa"/>
            <w:vAlign w:val="bottom"/>
          </w:tcPr>
          <w:p>
            <w:pPr>
              <w:spacing w:after="0"/>
              <w:rPr>
                <w:sz w:val="20"/>
                <w:szCs w:val="20"/>
                <w:color w:val="auto"/>
              </w:rPr>
            </w:pPr>
            <w:r>
              <w:rPr>
                <w:rFonts w:ascii="Arial" w:cs="Arial" w:eastAsia="Arial" w:hAnsi="Arial"/>
                <w:sz w:val="18"/>
                <w:szCs w:val="18"/>
                <w:color w:val="auto"/>
              </w:rPr>
              <w:t>Other liabilities</w:t>
            </w:r>
          </w:p>
        </w:tc>
        <w:tc>
          <w:tcPr>
            <w:tcW w:w="160" w:type="dxa"/>
            <w:vAlign w:val="bottom"/>
          </w:tcPr>
          <w:p>
            <w:pPr>
              <w:spacing w:after="0"/>
              <w:rPr>
                <w:sz w:val="18"/>
                <w:szCs w:val="18"/>
                <w:color w:val="auto"/>
              </w:rPr>
            </w:pP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28,519</w:t>
            </w: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rPr>
              <w:t>31,710</w:t>
            </w:r>
          </w:p>
        </w:tc>
        <w:tc>
          <w:tcPr>
            <w:tcW w:w="0" w:type="dxa"/>
            <w:vAlign w:val="bottom"/>
          </w:tcPr>
          <w:p>
            <w:pPr>
              <w:spacing w:after="0"/>
              <w:rPr>
                <w:sz w:val="1"/>
                <w:szCs w:val="1"/>
                <w:color w:val="auto"/>
              </w:rPr>
            </w:pPr>
          </w:p>
        </w:tc>
      </w:tr>
      <w:tr>
        <w:trPr>
          <w:trHeight w:val="216"/>
        </w:trPr>
        <w:tc>
          <w:tcPr>
            <w:tcW w:w="8420" w:type="dxa"/>
            <w:vAlign w:val="bottom"/>
            <w:shd w:val="clear" w:color="auto" w:fill="CCEEFF"/>
          </w:tcPr>
          <w:p>
            <w:pPr>
              <w:spacing w:after="0"/>
              <w:rPr>
                <w:sz w:val="20"/>
                <w:szCs w:val="20"/>
                <w:color w:val="auto"/>
              </w:rPr>
            </w:pPr>
            <w:r>
              <w:rPr>
                <w:rFonts w:ascii="Arial" w:cs="Arial" w:eastAsia="Arial" w:hAnsi="Arial"/>
                <w:sz w:val="18"/>
                <w:szCs w:val="18"/>
                <w:color w:val="auto"/>
              </w:rPr>
              <w:t>Stockholders’ equity</w:t>
            </w:r>
          </w:p>
        </w:tc>
        <w:tc>
          <w:tcPr>
            <w:tcW w:w="1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58,491</w:t>
            </w: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56,480</w:t>
            </w:r>
          </w:p>
        </w:tc>
        <w:tc>
          <w:tcPr>
            <w:tcW w:w="0" w:type="dxa"/>
            <w:vAlign w:val="bottom"/>
          </w:tcPr>
          <w:p>
            <w:pPr>
              <w:spacing w:after="0"/>
              <w:rPr>
                <w:sz w:val="1"/>
                <w:szCs w:val="1"/>
                <w:color w:val="auto"/>
              </w:rPr>
            </w:pPr>
          </w:p>
        </w:tc>
      </w:tr>
      <w:tr>
        <w:trPr>
          <w:trHeight w:val="223"/>
        </w:trPr>
        <w:tc>
          <w:tcPr>
            <w:tcW w:w="8420" w:type="dxa"/>
            <w:vAlign w:val="bottom"/>
          </w:tcPr>
          <w:p>
            <w:pPr>
              <w:spacing w:after="0"/>
              <w:rPr>
                <w:sz w:val="20"/>
                <w:szCs w:val="20"/>
                <w:color w:val="auto"/>
              </w:rPr>
            </w:pPr>
            <w:r>
              <w:rPr>
                <w:rFonts w:ascii="Arial" w:cs="Arial" w:eastAsia="Arial" w:hAnsi="Arial"/>
                <w:sz w:val="18"/>
                <w:szCs w:val="18"/>
                <w:color w:val="auto"/>
              </w:rPr>
              <w:t>Total liabilities and stockholders’ equity</w:t>
            </w:r>
          </w:p>
        </w:tc>
        <w:tc>
          <w:tcPr>
            <w:tcW w:w="1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103,157</w:t>
            </w:r>
          </w:p>
        </w:tc>
        <w:tc>
          <w:tcPr>
            <w:tcW w:w="20" w:type="dxa"/>
            <w:vAlign w:val="bottom"/>
            <w:tcBorders>
              <w:bottom w:val="single" w:sz="8" w:color="auto"/>
            </w:tcBorders>
          </w:tcPr>
          <w:p>
            <w:pPr>
              <w:spacing w:after="0"/>
              <w:rPr>
                <w:sz w:val="19"/>
                <w:szCs w:val="19"/>
                <w:color w:val="auto"/>
              </w:rPr>
            </w:pPr>
          </w:p>
        </w:tc>
        <w:tc>
          <w:tcPr>
            <w:tcW w:w="54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105,139</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84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424" w:hanging="424"/>
        <w:spacing w:after="0"/>
        <w:tabs>
          <w:tab w:leader="none" w:pos="424" w:val="left"/>
        </w:tabs>
        <w:numPr>
          <w:ilvl w:val="0"/>
          <w:numId w:val="8"/>
        </w:numPr>
        <w:rPr>
          <w:rFonts w:ascii="Arial" w:cs="Arial" w:eastAsia="Arial" w:hAnsi="Arial"/>
          <w:sz w:val="13"/>
          <w:szCs w:val="13"/>
          <w:color w:val="auto"/>
        </w:rPr>
      </w:pPr>
      <w:r>
        <w:rPr>
          <w:rFonts w:ascii="Arial" w:cs="Arial" w:eastAsia="Arial" w:hAnsi="Arial"/>
          <w:sz w:val="16"/>
          <w:szCs w:val="16"/>
          <w:color w:val="auto"/>
        </w:rPr>
        <w:t>Derived from the audited financial statements, included in the Company’s Annual Report on Form 10-K for the year ended December 31, 2019.</w:t>
      </w:r>
    </w:p>
    <w:p>
      <w:pPr>
        <w:sectPr>
          <w:pgSz w:w="11900" w:h="16838" w:orient="portrait"/>
          <w:cols w:equalWidth="0" w:num="1">
            <w:col w:w="11024"/>
          </w:cols>
          <w:pgMar w:left="436" w:top="270" w:right="439" w:bottom="1440" w:gutter="0" w:footer="0" w:header="0"/>
        </w:sectPr>
      </w:pPr>
    </w:p>
    <w:bookmarkStart w:id="8" w:name="page9"/>
    <w:bookmarkEnd w:id="8"/>
    <w:p>
      <w:pPr>
        <w:jc w:val="center"/>
        <w:ind w:right="-3"/>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49465" cy="25400"/>
                    </a:xfrm>
                    <a:prstGeom prst="rect">
                      <a:avLst/>
                    </a:prstGeom>
                    <a:noFill/>
                  </pic:spPr>
                </pic:pic>
              </a:graphicData>
            </a:graphic>
          </wp:anchor>
        </w:drawing>
        <w:t>Eiger BioPharmaceuticals Inc.</w:t>
      </w:r>
    </w:p>
    <w:p>
      <w:pPr>
        <w:spacing w:after="0" w:line="27" w:lineRule="exact"/>
        <w:rPr>
          <w:sz w:val="20"/>
          <w:szCs w:val="20"/>
          <w:color w:val="auto"/>
        </w:rPr>
      </w:pPr>
    </w:p>
    <w:p>
      <w:pPr>
        <w:jc w:val="center"/>
        <w:ind w:right="-3"/>
        <w:spacing w:after="0"/>
        <w:rPr>
          <w:sz w:val="20"/>
          <w:szCs w:val="20"/>
          <w:color w:val="auto"/>
        </w:rPr>
      </w:pPr>
      <w:r>
        <w:rPr>
          <w:rFonts w:ascii="Arial" w:cs="Arial" w:eastAsia="Arial" w:hAnsi="Arial"/>
          <w:sz w:val="18"/>
          <w:szCs w:val="18"/>
          <w:b w:val="1"/>
          <w:bCs w:val="1"/>
          <w:color w:val="auto"/>
        </w:rPr>
        <w:t>Condensed Consolidated Statements of Operations Financial Data</w:t>
      </w:r>
    </w:p>
    <w:p>
      <w:pPr>
        <w:spacing w:after="0" w:line="9"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(in thousands, except per share and share amounts)</w:t>
      </w:r>
    </w:p>
    <w:p>
      <w:pPr>
        <w:spacing w:after="0" w:line="217" w:lineRule="exact"/>
        <w:rPr>
          <w:sz w:val="20"/>
          <w:szCs w:val="20"/>
          <w:color w:val="auto"/>
        </w:rPr>
      </w:pPr>
    </w:p>
    <w:tbl>
      <w:tblPr>
        <w:tblLayout w:type="fixed"/>
        <w:tblInd w:w="4" w:type="dxa"/>
        <w:tblCellMar>
          <w:top w:w="0" w:type="dxa"/>
          <w:left w:w="0" w:type="dxa"/>
          <w:bottom w:w="0" w:type="dxa"/>
          <w:right w:w="0" w:type="dxa"/>
        </w:tblCellMar>
      </w:tblPr>
      <w:tr>
        <w:trPr>
          <w:trHeight w:val="161"/>
        </w:trPr>
        <w:tc>
          <w:tcPr>
            <w:tcW w:w="49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340" w:type="dxa"/>
            <w:vAlign w:val="bottom"/>
            <w:gridSpan w:val="6"/>
          </w:tcPr>
          <w:p>
            <w:pPr>
              <w:jc w:val="center"/>
              <w:ind w:right="320"/>
              <w:spacing w:after="0"/>
              <w:rPr>
                <w:sz w:val="20"/>
                <w:szCs w:val="20"/>
                <w:color w:val="auto"/>
              </w:rPr>
            </w:pPr>
            <w:r>
              <w:rPr>
                <w:rFonts w:ascii="Arial" w:cs="Arial" w:eastAsia="Arial" w:hAnsi="Arial"/>
                <w:sz w:val="14"/>
                <w:szCs w:val="14"/>
                <w:b w:val="1"/>
                <w:bCs w:val="1"/>
                <w:color w:val="auto"/>
                <w:w w:val="93"/>
              </w:rPr>
              <w:t>Three Months Ended</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20" w:type="dxa"/>
            <w:vAlign w:val="bottom"/>
            <w:gridSpan w:val="6"/>
          </w:tcPr>
          <w:p>
            <w:pPr>
              <w:jc w:val="center"/>
              <w:ind w:right="200"/>
              <w:spacing w:after="0"/>
              <w:rPr>
                <w:sz w:val="20"/>
                <w:szCs w:val="20"/>
                <w:color w:val="auto"/>
              </w:rPr>
            </w:pPr>
            <w:r>
              <w:rPr>
                <w:rFonts w:ascii="Arial" w:cs="Arial" w:eastAsia="Arial" w:hAnsi="Arial"/>
                <w:sz w:val="14"/>
                <w:szCs w:val="14"/>
                <w:b w:val="1"/>
                <w:bCs w:val="1"/>
                <w:color w:val="auto"/>
                <w:w w:val="93"/>
              </w:rPr>
              <w:t>Six Months Ended</w:t>
            </w:r>
          </w:p>
        </w:tc>
        <w:tc>
          <w:tcPr>
            <w:tcW w:w="0" w:type="dxa"/>
            <w:vAlign w:val="bottom"/>
          </w:tcPr>
          <w:p>
            <w:pPr>
              <w:spacing w:after="0"/>
              <w:rPr>
                <w:sz w:val="1"/>
                <w:szCs w:val="1"/>
                <w:color w:val="auto"/>
              </w:rPr>
            </w:pPr>
          </w:p>
        </w:tc>
      </w:tr>
      <w:tr>
        <w:trPr>
          <w:trHeight w:val="162"/>
        </w:trPr>
        <w:tc>
          <w:tcPr>
            <w:tcW w:w="49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00" w:type="dxa"/>
            <w:vAlign w:val="bottom"/>
            <w:gridSpan w:val="4"/>
          </w:tcPr>
          <w:p>
            <w:pPr>
              <w:jc w:val="center"/>
              <w:ind w:left="635"/>
              <w:spacing w:after="0"/>
              <w:rPr>
                <w:sz w:val="20"/>
                <w:szCs w:val="20"/>
                <w:color w:val="auto"/>
              </w:rPr>
            </w:pPr>
            <w:r>
              <w:rPr>
                <w:rFonts w:ascii="Arial" w:cs="Arial" w:eastAsia="Arial" w:hAnsi="Arial"/>
                <w:sz w:val="14"/>
                <w:szCs w:val="14"/>
                <w:b w:val="1"/>
                <w:bCs w:val="1"/>
                <w:color w:val="auto"/>
                <w:w w:val="89"/>
              </w:rPr>
              <w:t>June 30,</w:t>
            </w: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00" w:type="dxa"/>
            <w:vAlign w:val="bottom"/>
            <w:gridSpan w:val="4"/>
          </w:tcPr>
          <w:p>
            <w:pPr>
              <w:jc w:val="center"/>
              <w:ind w:left="615"/>
              <w:spacing w:after="0"/>
              <w:rPr>
                <w:sz w:val="20"/>
                <w:szCs w:val="20"/>
                <w:color w:val="auto"/>
              </w:rPr>
            </w:pPr>
            <w:r>
              <w:rPr>
                <w:rFonts w:ascii="Arial" w:cs="Arial" w:eastAsia="Arial" w:hAnsi="Arial"/>
                <w:sz w:val="14"/>
                <w:szCs w:val="14"/>
                <w:b w:val="1"/>
                <w:bCs w:val="1"/>
                <w:color w:val="auto"/>
                <w:w w:val="92"/>
              </w:rPr>
              <w:t>June 30,</w:t>
            </w: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49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340" w:type="dxa"/>
            <w:vAlign w:val="bottom"/>
            <w:gridSpan w:val="6"/>
          </w:tcPr>
          <w:p>
            <w:pPr>
              <w:jc w:val="center"/>
              <w:ind w:right="300"/>
              <w:spacing w:after="0"/>
              <w:rPr>
                <w:sz w:val="20"/>
                <w:szCs w:val="20"/>
                <w:color w:val="auto"/>
              </w:rPr>
            </w:pPr>
            <w:r>
              <w:rPr>
                <w:rFonts w:ascii="Arial" w:cs="Arial" w:eastAsia="Arial" w:hAnsi="Arial"/>
                <w:sz w:val="14"/>
                <w:szCs w:val="14"/>
                <w:b w:val="1"/>
                <w:bCs w:val="1"/>
                <w:color w:val="auto"/>
                <w:w w:val="94"/>
              </w:rPr>
              <w:t>(unaudited)</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20" w:type="dxa"/>
            <w:vAlign w:val="bottom"/>
            <w:gridSpan w:val="6"/>
          </w:tcPr>
          <w:p>
            <w:pPr>
              <w:jc w:val="center"/>
              <w:ind w:right="220"/>
              <w:spacing w:after="0"/>
              <w:rPr>
                <w:sz w:val="20"/>
                <w:szCs w:val="20"/>
                <w:color w:val="auto"/>
              </w:rPr>
            </w:pPr>
            <w:r>
              <w:rPr>
                <w:rFonts w:ascii="Arial" w:cs="Arial" w:eastAsia="Arial" w:hAnsi="Arial"/>
                <w:sz w:val="14"/>
                <w:szCs w:val="14"/>
                <w:b w:val="1"/>
                <w:bCs w:val="1"/>
                <w:color w:val="auto"/>
                <w:w w:val="94"/>
              </w:rPr>
              <w:t>(unaudited)</w:t>
            </w:r>
          </w:p>
        </w:tc>
        <w:tc>
          <w:tcPr>
            <w:tcW w:w="0" w:type="dxa"/>
            <w:vAlign w:val="bottom"/>
          </w:tcPr>
          <w:p>
            <w:pPr>
              <w:spacing w:after="0"/>
              <w:rPr>
                <w:sz w:val="1"/>
                <w:szCs w:val="1"/>
                <w:color w:val="auto"/>
              </w:rPr>
            </w:pPr>
          </w:p>
        </w:tc>
      </w:tr>
      <w:tr>
        <w:trPr>
          <w:trHeight w:val="142"/>
        </w:trPr>
        <w:tc>
          <w:tcPr>
            <w:tcW w:w="4920" w:type="dxa"/>
            <w:vAlign w:val="bottom"/>
            <w:tcBorders>
              <w:bottom w:val="single" w:sz="8" w:color="CCEEFF"/>
            </w:tcBorders>
          </w:tcPr>
          <w:p>
            <w:pPr>
              <w:spacing w:after="0"/>
              <w:rPr>
                <w:sz w:val="12"/>
                <w:szCs w:val="12"/>
                <w:color w:val="auto"/>
              </w:rPr>
            </w:pPr>
          </w:p>
        </w:tc>
        <w:tc>
          <w:tcPr>
            <w:tcW w:w="1200" w:type="dxa"/>
            <w:vAlign w:val="bottom"/>
            <w:tcBorders>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ind w:right="235"/>
              <w:spacing w:after="0" w:line="142" w:lineRule="exact"/>
              <w:rPr>
                <w:sz w:val="20"/>
                <w:szCs w:val="20"/>
                <w:color w:val="auto"/>
              </w:rPr>
            </w:pPr>
            <w:r>
              <w:rPr>
                <w:rFonts w:ascii="Arial" w:cs="Arial" w:eastAsia="Arial" w:hAnsi="Arial"/>
                <w:sz w:val="14"/>
                <w:szCs w:val="14"/>
                <w:b w:val="1"/>
                <w:bCs w:val="1"/>
                <w:color w:val="auto"/>
              </w:rPr>
              <w:t>2020</w:t>
            </w:r>
          </w:p>
        </w:tc>
        <w:tc>
          <w:tcPr>
            <w:tcW w:w="220" w:type="dxa"/>
            <w:vAlign w:val="bottom"/>
            <w:tcBorders>
              <w:top w:val="single" w:sz="8" w:color="auto"/>
              <w:bottom w:val="single" w:sz="8" w:color="CCEEFF"/>
            </w:tcBorders>
          </w:tcPr>
          <w:p>
            <w:pPr>
              <w:spacing w:after="0"/>
              <w:rPr>
                <w:sz w:val="12"/>
                <w:szCs w:val="12"/>
                <w:color w:val="auto"/>
              </w:rPr>
            </w:pPr>
          </w:p>
        </w:tc>
        <w:tc>
          <w:tcPr>
            <w:tcW w:w="16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ind w:right="232"/>
              <w:spacing w:after="0" w:line="142" w:lineRule="exact"/>
              <w:rPr>
                <w:sz w:val="20"/>
                <w:szCs w:val="20"/>
                <w:color w:val="auto"/>
              </w:rPr>
            </w:pPr>
            <w:r>
              <w:rPr>
                <w:rFonts w:ascii="Arial" w:cs="Arial" w:eastAsia="Arial" w:hAnsi="Arial"/>
                <w:sz w:val="14"/>
                <w:szCs w:val="14"/>
                <w:b w:val="1"/>
                <w:bCs w:val="1"/>
                <w:color w:val="auto"/>
              </w:rPr>
              <w:t>2019</w:t>
            </w:r>
          </w:p>
        </w:tc>
        <w:tc>
          <w:tcPr>
            <w:tcW w:w="220" w:type="dxa"/>
            <w:vAlign w:val="bottom"/>
            <w:tcBorders>
              <w:bottom w:val="single" w:sz="8" w:color="CCEEFF"/>
            </w:tcBorders>
          </w:tcPr>
          <w:p>
            <w:pPr>
              <w:spacing w:after="0"/>
              <w:rPr>
                <w:sz w:val="12"/>
                <w:szCs w:val="12"/>
                <w:color w:val="auto"/>
              </w:rPr>
            </w:pPr>
          </w:p>
        </w:tc>
        <w:tc>
          <w:tcPr>
            <w:tcW w:w="16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215"/>
              <w:spacing w:after="0" w:line="142" w:lineRule="exact"/>
              <w:rPr>
                <w:sz w:val="20"/>
                <w:szCs w:val="20"/>
                <w:color w:val="auto"/>
              </w:rPr>
            </w:pPr>
            <w:r>
              <w:rPr>
                <w:rFonts w:ascii="Arial" w:cs="Arial" w:eastAsia="Arial" w:hAnsi="Arial"/>
                <w:sz w:val="14"/>
                <w:szCs w:val="14"/>
                <w:b w:val="1"/>
                <w:bCs w:val="1"/>
                <w:color w:val="auto"/>
              </w:rPr>
              <w:t>2020</w:t>
            </w:r>
          </w:p>
        </w:tc>
        <w:tc>
          <w:tcPr>
            <w:tcW w:w="240" w:type="dxa"/>
            <w:vAlign w:val="bottom"/>
            <w:tcBorders>
              <w:top w:val="single" w:sz="8" w:color="auto"/>
              <w:bottom w:val="single" w:sz="8" w:color="CCEEFF"/>
            </w:tcBorders>
          </w:tcPr>
          <w:p>
            <w:pPr>
              <w:spacing w:after="0"/>
              <w:rPr>
                <w:sz w:val="12"/>
                <w:szCs w:val="12"/>
                <w:color w:val="auto"/>
              </w:rPr>
            </w:pPr>
          </w:p>
        </w:tc>
        <w:tc>
          <w:tcPr>
            <w:tcW w:w="16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212"/>
              <w:spacing w:after="0" w:line="142" w:lineRule="exact"/>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492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Operating expenses:</w:t>
            </w:r>
          </w:p>
        </w:tc>
        <w:tc>
          <w:tcPr>
            <w:tcW w:w="1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920" w:type="dxa"/>
            <w:vAlign w:val="bottom"/>
          </w:tcPr>
          <w:p>
            <w:pPr>
              <w:ind w:left="720"/>
              <w:spacing w:after="0"/>
              <w:rPr>
                <w:sz w:val="20"/>
                <w:szCs w:val="20"/>
                <w:color w:val="auto"/>
              </w:rPr>
            </w:pPr>
            <w:r>
              <w:rPr>
                <w:rFonts w:ascii="Arial" w:cs="Arial" w:eastAsia="Arial" w:hAnsi="Arial"/>
                <w:sz w:val="18"/>
                <w:szCs w:val="18"/>
                <w:color w:val="auto"/>
              </w:rPr>
              <w:t>Research and development</w:t>
            </w:r>
            <w:r>
              <w:rPr>
                <w:rFonts w:ascii="Arial" w:cs="Arial" w:eastAsia="Arial" w:hAnsi="Arial"/>
                <w:sz w:val="15"/>
                <w:szCs w:val="15"/>
                <w:color w:val="auto"/>
              </w:rPr>
              <w:t>(1)</w:t>
            </w:r>
          </w:p>
        </w:tc>
        <w:tc>
          <w:tcPr>
            <w:tcW w:w="1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9,754</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12,936</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240"/>
              <w:spacing w:after="0"/>
              <w:rPr>
                <w:sz w:val="20"/>
                <w:szCs w:val="20"/>
                <w:color w:val="auto"/>
              </w:rPr>
            </w:pPr>
            <w:r>
              <w:rPr>
                <w:rFonts w:ascii="Arial" w:cs="Arial" w:eastAsia="Arial" w:hAnsi="Arial"/>
                <w:sz w:val="18"/>
                <w:szCs w:val="18"/>
                <w:color w:val="auto"/>
              </w:rPr>
              <w:t>19,235</w:t>
            </w:r>
          </w:p>
        </w:tc>
        <w:tc>
          <w:tcPr>
            <w:tcW w:w="2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20"/>
              <w:spacing w:after="0"/>
              <w:rPr>
                <w:sz w:val="20"/>
                <w:szCs w:val="20"/>
                <w:color w:val="auto"/>
              </w:rPr>
            </w:pPr>
            <w:r>
              <w:rPr>
                <w:rFonts w:ascii="Arial" w:cs="Arial" w:eastAsia="Arial" w:hAnsi="Arial"/>
                <w:sz w:val="18"/>
                <w:szCs w:val="18"/>
                <w:color w:val="auto"/>
              </w:rPr>
              <w:t>25,804</w:t>
            </w:r>
          </w:p>
        </w:tc>
        <w:tc>
          <w:tcPr>
            <w:tcW w:w="0" w:type="dxa"/>
            <w:vAlign w:val="bottom"/>
          </w:tcPr>
          <w:p>
            <w:pPr>
              <w:spacing w:after="0"/>
              <w:rPr>
                <w:sz w:val="1"/>
                <w:szCs w:val="1"/>
                <w:color w:val="auto"/>
              </w:rPr>
            </w:pPr>
          </w:p>
        </w:tc>
      </w:tr>
      <w:tr>
        <w:trPr>
          <w:trHeight w:val="216"/>
        </w:trPr>
        <w:tc>
          <w:tcPr>
            <w:tcW w:w="4920" w:type="dxa"/>
            <w:vAlign w:val="bottom"/>
            <w:shd w:val="clear" w:color="auto" w:fill="CCEEFF"/>
          </w:tcPr>
          <w:p>
            <w:pPr>
              <w:ind w:left="720"/>
              <w:spacing w:after="0"/>
              <w:rPr>
                <w:sz w:val="20"/>
                <w:szCs w:val="20"/>
                <w:color w:val="auto"/>
              </w:rPr>
            </w:pPr>
            <w:r>
              <w:rPr>
                <w:rFonts w:ascii="Arial" w:cs="Arial" w:eastAsia="Arial" w:hAnsi="Arial"/>
                <w:sz w:val="18"/>
                <w:szCs w:val="18"/>
                <w:color w:val="auto"/>
              </w:rPr>
              <w:t>General and administrative</w:t>
            </w:r>
            <w:r>
              <w:rPr>
                <w:rFonts w:ascii="Arial" w:cs="Arial" w:eastAsia="Arial" w:hAnsi="Arial"/>
                <w:sz w:val="15"/>
                <w:szCs w:val="15"/>
                <w:color w:val="auto"/>
              </w:rPr>
              <w:t>(1)</w:t>
            </w:r>
          </w:p>
        </w:tc>
        <w:tc>
          <w:tcPr>
            <w:tcW w:w="1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4,873</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4,225</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10,114</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8,282</w:t>
            </w:r>
          </w:p>
        </w:tc>
        <w:tc>
          <w:tcPr>
            <w:tcW w:w="0" w:type="dxa"/>
            <w:vAlign w:val="bottom"/>
          </w:tcPr>
          <w:p>
            <w:pPr>
              <w:spacing w:after="0"/>
              <w:rPr>
                <w:sz w:val="1"/>
                <w:szCs w:val="1"/>
                <w:color w:val="auto"/>
              </w:rPr>
            </w:pPr>
          </w:p>
        </w:tc>
      </w:tr>
      <w:tr>
        <w:trPr>
          <w:trHeight w:val="230"/>
        </w:trPr>
        <w:tc>
          <w:tcPr>
            <w:tcW w:w="4920" w:type="dxa"/>
            <w:vAlign w:val="bottom"/>
          </w:tcPr>
          <w:p>
            <w:pPr>
              <w:ind w:left="1080"/>
              <w:spacing w:after="0"/>
              <w:rPr>
                <w:sz w:val="20"/>
                <w:szCs w:val="20"/>
                <w:color w:val="auto"/>
              </w:rPr>
            </w:pPr>
            <w:r>
              <w:rPr>
                <w:rFonts w:ascii="Arial" w:cs="Arial" w:eastAsia="Arial" w:hAnsi="Arial"/>
                <w:sz w:val="18"/>
                <w:szCs w:val="18"/>
                <w:color w:val="auto"/>
              </w:rPr>
              <w:t>Total operating expenses</w:t>
            </w:r>
          </w:p>
        </w:tc>
        <w:tc>
          <w:tcPr>
            <w:tcW w:w="120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14,627</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17,161</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29,349</w:t>
            </w:r>
          </w:p>
        </w:tc>
        <w:tc>
          <w:tcPr>
            <w:tcW w:w="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34,086</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920" w:type="dxa"/>
            <w:vAlign w:val="bottom"/>
            <w:shd w:val="clear" w:color="auto" w:fill="CCEEFF"/>
          </w:tcPr>
          <w:p>
            <w:pPr>
              <w:spacing w:after="0"/>
              <w:rPr>
                <w:sz w:val="20"/>
                <w:szCs w:val="20"/>
                <w:color w:val="auto"/>
              </w:rPr>
            </w:pPr>
            <w:r>
              <w:rPr>
                <w:rFonts w:ascii="Arial" w:cs="Arial" w:eastAsia="Arial" w:hAnsi="Arial"/>
                <w:sz w:val="18"/>
                <w:szCs w:val="18"/>
                <w:color w:val="auto"/>
              </w:rPr>
              <w:t>Loss from operations</w:t>
            </w:r>
          </w:p>
        </w:tc>
        <w:tc>
          <w:tcPr>
            <w:tcW w:w="1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(14,627)</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(17,161)</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(29,349)</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(34,086)</w:t>
            </w:r>
          </w:p>
        </w:tc>
        <w:tc>
          <w:tcPr>
            <w:tcW w:w="0" w:type="dxa"/>
            <w:vAlign w:val="bottom"/>
          </w:tcPr>
          <w:p>
            <w:pPr>
              <w:spacing w:after="0"/>
              <w:rPr>
                <w:sz w:val="1"/>
                <w:szCs w:val="1"/>
                <w:color w:val="auto"/>
              </w:rPr>
            </w:pPr>
          </w:p>
        </w:tc>
      </w:tr>
      <w:tr>
        <w:trPr>
          <w:trHeight w:val="216"/>
        </w:trPr>
        <w:tc>
          <w:tcPr>
            <w:tcW w:w="4920" w:type="dxa"/>
            <w:vAlign w:val="bottom"/>
          </w:tcPr>
          <w:p>
            <w:pPr>
              <w:spacing w:after="0"/>
              <w:rPr>
                <w:sz w:val="20"/>
                <w:szCs w:val="20"/>
                <w:color w:val="auto"/>
              </w:rPr>
            </w:pPr>
            <w:r>
              <w:rPr>
                <w:rFonts w:ascii="Arial" w:cs="Arial" w:eastAsia="Arial" w:hAnsi="Arial"/>
                <w:sz w:val="18"/>
                <w:szCs w:val="18"/>
                <w:color w:val="auto"/>
              </w:rPr>
              <w:t>Interest expense</w:t>
            </w:r>
          </w:p>
        </w:tc>
        <w:tc>
          <w:tcPr>
            <w:tcW w:w="1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8"/>
                <w:szCs w:val="18"/>
                <w:color w:val="auto"/>
              </w:rPr>
              <w:t>(891)</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8"/>
                <w:szCs w:val="18"/>
                <w:color w:val="auto"/>
              </w:rPr>
              <w:t>(869)</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180"/>
              <w:spacing w:after="0"/>
              <w:rPr>
                <w:sz w:val="20"/>
                <w:szCs w:val="20"/>
                <w:color w:val="auto"/>
              </w:rPr>
            </w:pPr>
            <w:r>
              <w:rPr>
                <w:rFonts w:ascii="Arial" w:cs="Arial" w:eastAsia="Arial" w:hAnsi="Arial"/>
                <w:sz w:val="18"/>
                <w:szCs w:val="18"/>
                <w:color w:val="auto"/>
              </w:rPr>
              <w:t>(1,775)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60"/>
              <w:spacing w:after="0"/>
              <w:rPr>
                <w:sz w:val="20"/>
                <w:szCs w:val="20"/>
                <w:color w:val="auto"/>
              </w:rPr>
            </w:pPr>
            <w:r>
              <w:rPr>
                <w:rFonts w:ascii="Arial" w:cs="Arial" w:eastAsia="Arial" w:hAnsi="Arial"/>
                <w:sz w:val="18"/>
                <w:szCs w:val="18"/>
                <w:color w:val="auto"/>
              </w:rPr>
              <w:t>(1,634)</w:t>
            </w:r>
          </w:p>
        </w:tc>
        <w:tc>
          <w:tcPr>
            <w:tcW w:w="0" w:type="dxa"/>
            <w:vAlign w:val="bottom"/>
          </w:tcPr>
          <w:p>
            <w:pPr>
              <w:spacing w:after="0"/>
              <w:rPr>
                <w:sz w:val="1"/>
                <w:szCs w:val="1"/>
                <w:color w:val="auto"/>
              </w:rPr>
            </w:pPr>
          </w:p>
        </w:tc>
      </w:tr>
      <w:tr>
        <w:trPr>
          <w:trHeight w:val="216"/>
        </w:trPr>
        <w:tc>
          <w:tcPr>
            <w:tcW w:w="4920" w:type="dxa"/>
            <w:vAlign w:val="bottom"/>
            <w:shd w:val="clear" w:color="auto" w:fill="CCEEFF"/>
          </w:tcPr>
          <w:p>
            <w:pPr>
              <w:spacing w:after="0"/>
              <w:rPr>
                <w:sz w:val="20"/>
                <w:szCs w:val="20"/>
                <w:color w:val="auto"/>
              </w:rPr>
            </w:pPr>
            <w:r>
              <w:rPr>
                <w:rFonts w:ascii="Arial" w:cs="Arial" w:eastAsia="Arial" w:hAnsi="Arial"/>
                <w:sz w:val="18"/>
                <w:szCs w:val="18"/>
                <w:color w:val="auto"/>
              </w:rPr>
              <w:t>Interest income</w:t>
            </w:r>
          </w:p>
        </w:tc>
        <w:tc>
          <w:tcPr>
            <w:tcW w:w="1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186</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502</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553</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1,013</w:t>
            </w:r>
          </w:p>
        </w:tc>
        <w:tc>
          <w:tcPr>
            <w:tcW w:w="0" w:type="dxa"/>
            <w:vAlign w:val="bottom"/>
          </w:tcPr>
          <w:p>
            <w:pPr>
              <w:spacing w:after="0"/>
              <w:rPr>
                <w:sz w:val="1"/>
                <w:szCs w:val="1"/>
                <w:color w:val="auto"/>
              </w:rPr>
            </w:pPr>
          </w:p>
        </w:tc>
      </w:tr>
      <w:tr>
        <w:trPr>
          <w:trHeight w:val="216"/>
        </w:trPr>
        <w:tc>
          <w:tcPr>
            <w:tcW w:w="4920" w:type="dxa"/>
            <w:vAlign w:val="bottom"/>
          </w:tcPr>
          <w:p>
            <w:pPr>
              <w:spacing w:after="0"/>
              <w:rPr>
                <w:sz w:val="20"/>
                <w:szCs w:val="20"/>
                <w:color w:val="auto"/>
              </w:rPr>
            </w:pPr>
            <w:r>
              <w:rPr>
                <w:rFonts w:ascii="Arial" w:cs="Arial" w:eastAsia="Arial" w:hAnsi="Arial"/>
                <w:sz w:val="18"/>
                <w:szCs w:val="18"/>
                <w:color w:val="auto"/>
              </w:rPr>
              <w:t>Other income (expense), net</w:t>
            </w:r>
          </w:p>
        </w:tc>
        <w:tc>
          <w:tcPr>
            <w:tcW w:w="1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6</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8"/>
                <w:szCs w:val="18"/>
                <w:color w:val="auto"/>
              </w:rPr>
              <w:t>6</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6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7"/>
        </w:trPr>
        <w:tc>
          <w:tcPr>
            <w:tcW w:w="49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4920" w:type="dxa"/>
            <w:vAlign w:val="bottom"/>
            <w:shd w:val="clear" w:color="auto" w:fill="CCEEFF"/>
          </w:tcPr>
          <w:p>
            <w:pPr>
              <w:spacing w:after="0"/>
              <w:rPr>
                <w:sz w:val="20"/>
                <w:szCs w:val="20"/>
                <w:color w:val="auto"/>
              </w:rPr>
            </w:pPr>
            <w:r>
              <w:rPr>
                <w:rFonts w:ascii="Arial" w:cs="Arial" w:eastAsia="Arial" w:hAnsi="Arial"/>
                <w:sz w:val="18"/>
                <w:szCs w:val="18"/>
                <w:color w:val="auto"/>
              </w:rPr>
              <w:t>Net loss</w:t>
            </w: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(15,326)</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(17,527)</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(30,565)</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(34,716)</w:t>
            </w:r>
          </w:p>
        </w:tc>
        <w:tc>
          <w:tcPr>
            <w:tcW w:w="0" w:type="dxa"/>
            <w:vAlign w:val="bottom"/>
          </w:tcPr>
          <w:p>
            <w:pPr>
              <w:spacing w:after="0"/>
              <w:rPr>
                <w:sz w:val="1"/>
                <w:szCs w:val="1"/>
                <w:color w:val="auto"/>
              </w:rPr>
            </w:pPr>
          </w:p>
        </w:tc>
      </w:tr>
      <w:tr>
        <w:trPr>
          <w:trHeight w:val="20"/>
        </w:trPr>
        <w:tc>
          <w:tcPr>
            <w:tcW w:w="4920" w:type="dxa"/>
            <w:vAlign w:val="bottom"/>
            <w:vMerge w:val="restart"/>
          </w:tcPr>
          <w:p>
            <w:pPr>
              <w:spacing w:after="0"/>
              <w:rPr>
                <w:sz w:val="20"/>
                <w:szCs w:val="20"/>
                <w:color w:val="auto"/>
              </w:rPr>
            </w:pPr>
            <w:r>
              <w:rPr>
                <w:rFonts w:ascii="Arial" w:cs="Arial" w:eastAsia="Arial" w:hAnsi="Arial"/>
                <w:sz w:val="18"/>
                <w:szCs w:val="18"/>
                <w:color w:val="auto"/>
              </w:rPr>
              <w:t>Net loss per common share:</w:t>
            </w:r>
          </w:p>
        </w:tc>
        <w:tc>
          <w:tcPr>
            <w:tcW w:w="1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4920" w:type="dxa"/>
            <w:vAlign w:val="bottom"/>
            <w:vMerge w:val="continue"/>
          </w:tcPr>
          <w:p>
            <w:pPr>
              <w:spacing w:after="0"/>
              <w:rPr>
                <w:sz w:val="24"/>
                <w:szCs w:val="24"/>
                <w:color w:val="auto"/>
              </w:rPr>
            </w:pPr>
          </w:p>
        </w:tc>
        <w:tc>
          <w:tcPr>
            <w:tcW w:w="1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920" w:type="dxa"/>
            <w:vAlign w:val="bottom"/>
            <w:shd w:val="clear" w:color="auto" w:fill="CCEEFF"/>
          </w:tcPr>
          <w:p>
            <w:pPr>
              <w:ind w:left="720"/>
              <w:spacing w:after="0"/>
              <w:rPr>
                <w:sz w:val="20"/>
                <w:szCs w:val="20"/>
                <w:color w:val="auto"/>
              </w:rPr>
            </w:pPr>
            <w:r>
              <w:rPr>
                <w:rFonts w:ascii="Arial" w:cs="Arial" w:eastAsia="Arial" w:hAnsi="Arial"/>
                <w:sz w:val="18"/>
                <w:szCs w:val="18"/>
                <w:color w:val="auto"/>
              </w:rPr>
              <w:t>Basic and diluted</w:t>
            </w: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(0.60)</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(0.75)</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(1.22)</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(1.63)</w:t>
            </w:r>
          </w:p>
        </w:tc>
        <w:tc>
          <w:tcPr>
            <w:tcW w:w="0" w:type="dxa"/>
            <w:vAlign w:val="bottom"/>
          </w:tcPr>
          <w:p>
            <w:pPr>
              <w:spacing w:after="0"/>
              <w:rPr>
                <w:sz w:val="1"/>
                <w:szCs w:val="1"/>
                <w:color w:val="auto"/>
              </w:rPr>
            </w:pPr>
          </w:p>
        </w:tc>
      </w:tr>
      <w:tr>
        <w:trPr>
          <w:trHeight w:val="20"/>
        </w:trPr>
        <w:tc>
          <w:tcPr>
            <w:tcW w:w="4920" w:type="dxa"/>
            <w:vAlign w:val="bottom"/>
            <w:vMerge w:val="restart"/>
          </w:tcPr>
          <w:p>
            <w:pPr>
              <w:spacing w:after="0"/>
              <w:rPr>
                <w:sz w:val="20"/>
                <w:szCs w:val="20"/>
                <w:color w:val="auto"/>
              </w:rPr>
            </w:pPr>
            <w:r>
              <w:rPr>
                <w:rFonts w:ascii="Arial" w:cs="Arial" w:eastAsia="Arial" w:hAnsi="Arial"/>
                <w:sz w:val="18"/>
                <w:szCs w:val="18"/>
                <w:color w:val="auto"/>
              </w:rPr>
              <w:t>Shares used to compute net loss per common share:</w:t>
            </w:r>
          </w:p>
        </w:tc>
        <w:tc>
          <w:tcPr>
            <w:tcW w:w="1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920" w:type="dxa"/>
            <w:vAlign w:val="bottom"/>
            <w:vMerge w:val="continue"/>
          </w:tcPr>
          <w:p>
            <w:pPr>
              <w:spacing w:after="0"/>
              <w:rPr>
                <w:sz w:val="18"/>
                <w:szCs w:val="18"/>
                <w:color w:val="auto"/>
              </w:rPr>
            </w:pPr>
          </w:p>
        </w:tc>
        <w:tc>
          <w:tcPr>
            <w:tcW w:w="1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20" w:type="dxa"/>
            <w:vAlign w:val="bottom"/>
            <w:shd w:val="clear" w:color="auto" w:fill="CCEEFF"/>
          </w:tcPr>
          <w:p>
            <w:pPr>
              <w:ind w:left="720"/>
              <w:spacing w:after="0"/>
              <w:rPr>
                <w:sz w:val="20"/>
                <w:szCs w:val="20"/>
                <w:color w:val="auto"/>
              </w:rPr>
            </w:pPr>
            <w:r>
              <w:rPr>
                <w:rFonts w:ascii="Arial" w:cs="Arial" w:eastAsia="Arial" w:hAnsi="Arial"/>
                <w:sz w:val="18"/>
                <w:szCs w:val="18"/>
                <w:color w:val="auto"/>
              </w:rPr>
              <w:t>Basic and diluted</w:t>
            </w:r>
          </w:p>
        </w:tc>
        <w:tc>
          <w:tcPr>
            <w:tcW w:w="1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25,501,514</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23,408,652</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86"/>
              </w:rPr>
              <w:t>25,001,432</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6"/>
              </w:rPr>
              <w:t>21,338,551</w:t>
            </w:r>
          </w:p>
        </w:tc>
        <w:tc>
          <w:tcPr>
            <w:tcW w:w="0" w:type="dxa"/>
            <w:vAlign w:val="bottom"/>
          </w:tcPr>
          <w:p>
            <w:pPr>
              <w:spacing w:after="0"/>
              <w:rPr>
                <w:sz w:val="1"/>
                <w:szCs w:val="1"/>
                <w:color w:val="auto"/>
              </w:rPr>
            </w:pPr>
          </w:p>
        </w:tc>
      </w:tr>
      <w:tr>
        <w:trPr>
          <w:trHeight w:val="20"/>
        </w:trPr>
        <w:tc>
          <w:tcPr>
            <w:tcW w:w="49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424" w:hanging="424"/>
        <w:spacing w:after="0"/>
        <w:tabs>
          <w:tab w:leader="none" w:pos="424" w:val="left"/>
        </w:tabs>
        <w:numPr>
          <w:ilvl w:val="0"/>
          <w:numId w:val="9"/>
        </w:numPr>
        <w:rPr>
          <w:rFonts w:ascii="Arial" w:cs="Arial" w:eastAsia="Arial" w:hAnsi="Arial"/>
          <w:sz w:val="15"/>
          <w:szCs w:val="15"/>
          <w:color w:val="auto"/>
        </w:rPr>
      </w:pPr>
      <w:r>
        <w:rPr>
          <w:rFonts w:ascii="Arial" w:cs="Arial" w:eastAsia="Arial" w:hAnsi="Arial"/>
          <w:sz w:val="18"/>
          <w:szCs w:val="18"/>
          <w:color w:val="auto"/>
        </w:rPr>
        <w:t>Includes stock-based compensation expense of:</w:t>
      </w:r>
    </w:p>
    <w:p>
      <w:pPr>
        <w:spacing w:after="0" w:line="231" w:lineRule="exact"/>
        <w:rPr>
          <w:sz w:val="20"/>
          <w:szCs w:val="20"/>
          <w:color w:val="auto"/>
        </w:rPr>
      </w:pPr>
    </w:p>
    <w:tbl>
      <w:tblPr>
        <w:tblLayout w:type="fixed"/>
        <w:tblInd w:w="4" w:type="dxa"/>
        <w:tblCellMar>
          <w:top w:w="0" w:type="dxa"/>
          <w:left w:w="0" w:type="dxa"/>
          <w:bottom w:w="0" w:type="dxa"/>
          <w:right w:w="0" w:type="dxa"/>
        </w:tblCellMar>
      </w:tblPr>
      <w:tr>
        <w:trPr>
          <w:trHeight w:val="161"/>
        </w:trPr>
        <w:tc>
          <w:tcPr>
            <w:tcW w:w="5640" w:type="dxa"/>
            <w:vAlign w:val="bottom"/>
          </w:tcPr>
          <w:p>
            <w:pPr>
              <w:spacing w:after="0"/>
              <w:rPr>
                <w:sz w:val="14"/>
                <w:szCs w:val="14"/>
                <w:color w:val="auto"/>
              </w:rPr>
            </w:pPr>
          </w:p>
        </w:tc>
        <w:tc>
          <w:tcPr>
            <w:tcW w:w="2360" w:type="dxa"/>
            <w:vAlign w:val="bottom"/>
          </w:tcPr>
          <w:p>
            <w:pPr>
              <w:spacing w:after="0"/>
              <w:rPr>
                <w:sz w:val="14"/>
                <w:szCs w:val="14"/>
                <w:color w:val="auto"/>
              </w:rPr>
            </w:pPr>
          </w:p>
        </w:tc>
        <w:tc>
          <w:tcPr>
            <w:tcW w:w="1680" w:type="dxa"/>
            <w:vAlign w:val="bottom"/>
            <w:gridSpan w:val="6"/>
          </w:tcPr>
          <w:p>
            <w:pPr>
              <w:ind w:left="60"/>
              <w:spacing w:after="0"/>
              <w:rPr>
                <w:sz w:val="20"/>
                <w:szCs w:val="20"/>
                <w:color w:val="auto"/>
              </w:rPr>
            </w:pPr>
            <w:r>
              <w:rPr>
                <w:rFonts w:ascii="Arial" w:cs="Arial" w:eastAsia="Arial" w:hAnsi="Arial"/>
                <w:sz w:val="14"/>
                <w:szCs w:val="14"/>
                <w:b w:val="1"/>
                <w:bCs w:val="1"/>
                <w:color w:val="auto"/>
              </w:rPr>
              <w:t>Three Months Ended</w:t>
            </w:r>
          </w:p>
        </w:tc>
        <w:tc>
          <w:tcPr>
            <w:tcW w:w="1340" w:type="dxa"/>
            <w:vAlign w:val="bottom"/>
            <w:gridSpan w:val="7"/>
          </w:tcPr>
          <w:p>
            <w:pPr>
              <w:jc w:val="center"/>
              <w:ind w:right="40"/>
              <w:spacing w:after="0"/>
              <w:rPr>
                <w:sz w:val="20"/>
                <w:szCs w:val="20"/>
                <w:color w:val="auto"/>
              </w:rPr>
            </w:pPr>
            <w:r>
              <w:rPr>
                <w:rFonts w:ascii="Arial" w:cs="Arial" w:eastAsia="Arial" w:hAnsi="Arial"/>
                <w:sz w:val="14"/>
                <w:szCs w:val="14"/>
                <w:b w:val="1"/>
                <w:bCs w:val="1"/>
                <w:color w:val="auto"/>
                <w:w w:val="93"/>
              </w:rPr>
              <w:t>Six Months Ended</w:t>
            </w:r>
          </w:p>
        </w:tc>
      </w:tr>
      <w:tr>
        <w:trPr>
          <w:trHeight w:val="171"/>
        </w:trPr>
        <w:tc>
          <w:tcPr>
            <w:tcW w:w="5640" w:type="dxa"/>
            <w:vAlign w:val="bottom"/>
          </w:tcPr>
          <w:p>
            <w:pPr>
              <w:spacing w:after="0"/>
              <w:rPr>
                <w:sz w:val="14"/>
                <w:szCs w:val="14"/>
                <w:color w:val="auto"/>
              </w:rPr>
            </w:pPr>
          </w:p>
        </w:tc>
        <w:tc>
          <w:tcPr>
            <w:tcW w:w="23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4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gridSpan w:val="6"/>
          </w:tcPr>
          <w:p>
            <w:pPr>
              <w:jc w:val="center"/>
              <w:ind w:right="160"/>
              <w:spacing w:after="0"/>
              <w:rPr>
                <w:sz w:val="20"/>
                <w:szCs w:val="20"/>
                <w:color w:val="auto"/>
              </w:rPr>
            </w:pPr>
            <w:r>
              <w:rPr>
                <w:rFonts w:ascii="Arial" w:cs="Arial" w:eastAsia="Arial" w:hAnsi="Arial"/>
                <w:sz w:val="14"/>
                <w:szCs w:val="14"/>
                <w:b w:val="1"/>
                <w:bCs w:val="1"/>
                <w:color w:val="auto"/>
                <w:w w:val="92"/>
              </w:rPr>
              <w:t>June 30,</w:t>
            </w:r>
          </w:p>
        </w:tc>
      </w:tr>
      <w:tr>
        <w:trPr>
          <w:trHeight w:val="142"/>
        </w:trPr>
        <w:tc>
          <w:tcPr>
            <w:tcW w:w="5640" w:type="dxa"/>
            <w:vAlign w:val="bottom"/>
            <w:tcBorders>
              <w:bottom w:val="single" w:sz="8" w:color="CCEEFF"/>
            </w:tcBorders>
          </w:tcPr>
          <w:p>
            <w:pPr>
              <w:spacing w:after="0"/>
              <w:rPr>
                <w:sz w:val="12"/>
                <w:szCs w:val="12"/>
                <w:color w:val="auto"/>
              </w:rPr>
            </w:pPr>
          </w:p>
        </w:tc>
        <w:tc>
          <w:tcPr>
            <w:tcW w:w="2360" w:type="dxa"/>
            <w:vAlign w:val="bottom"/>
            <w:tcBorders>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40" w:type="dxa"/>
            <w:vAlign w:val="bottom"/>
            <w:tcBorders>
              <w:top w:val="single" w:sz="8" w:color="auto"/>
              <w:bottom w:val="single" w:sz="8" w:color="auto"/>
            </w:tcBorders>
          </w:tcPr>
          <w:p>
            <w:pPr>
              <w:jc w:val="right"/>
              <w:ind w:right="57"/>
              <w:spacing w:after="0" w:line="142" w:lineRule="exact"/>
              <w:rPr>
                <w:sz w:val="20"/>
                <w:szCs w:val="20"/>
                <w:color w:val="auto"/>
              </w:rPr>
            </w:pPr>
            <w:r>
              <w:rPr>
                <w:rFonts w:ascii="Arial" w:cs="Arial" w:eastAsia="Arial" w:hAnsi="Arial"/>
                <w:sz w:val="14"/>
                <w:szCs w:val="14"/>
                <w:b w:val="1"/>
                <w:bCs w:val="1"/>
                <w:color w:val="auto"/>
                <w:w w:val="89"/>
              </w:rPr>
              <w:t>2020</w:t>
            </w:r>
          </w:p>
        </w:tc>
        <w:tc>
          <w:tcPr>
            <w:tcW w:w="260" w:type="dxa"/>
            <w:vAlign w:val="bottom"/>
            <w:tcBorders>
              <w:top w:val="single" w:sz="8" w:color="auto"/>
              <w:bottom w:val="single" w:sz="8" w:color="CCEEFF"/>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440" w:type="dxa"/>
            <w:vAlign w:val="bottom"/>
            <w:tcBorders>
              <w:top w:val="single" w:sz="8" w:color="auto"/>
              <w:bottom w:val="single" w:sz="8" w:color="auto"/>
            </w:tcBorders>
          </w:tcPr>
          <w:p>
            <w:pPr>
              <w:jc w:val="right"/>
              <w:ind w:right="75"/>
              <w:spacing w:after="0" w:line="142" w:lineRule="exact"/>
              <w:rPr>
                <w:sz w:val="20"/>
                <w:szCs w:val="20"/>
                <w:color w:val="auto"/>
              </w:rPr>
            </w:pPr>
            <w:r>
              <w:rPr>
                <w:rFonts w:ascii="Arial" w:cs="Arial" w:eastAsia="Arial" w:hAnsi="Arial"/>
                <w:sz w:val="14"/>
                <w:szCs w:val="14"/>
                <w:b w:val="1"/>
                <w:bCs w:val="1"/>
                <w:color w:val="auto"/>
                <w:w w:val="83"/>
              </w:rPr>
              <w:t>2019</w:t>
            </w:r>
          </w:p>
        </w:tc>
        <w:tc>
          <w:tcPr>
            <w:tcW w:w="26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00" w:type="dxa"/>
            <w:vAlign w:val="bottom"/>
            <w:tcBorders>
              <w:top w:val="single" w:sz="8" w:color="auto"/>
              <w:bottom w:val="single" w:sz="8" w:color="auto"/>
            </w:tcBorders>
          </w:tcPr>
          <w:p>
            <w:pPr>
              <w:jc w:val="right"/>
              <w:ind w:right="17"/>
              <w:spacing w:after="0" w:line="142" w:lineRule="exact"/>
              <w:rPr>
                <w:sz w:val="20"/>
                <w:szCs w:val="20"/>
                <w:color w:val="auto"/>
              </w:rPr>
            </w:pPr>
            <w:r>
              <w:rPr>
                <w:rFonts w:ascii="Arial" w:cs="Arial" w:eastAsia="Arial" w:hAnsi="Arial"/>
                <w:sz w:val="14"/>
                <w:szCs w:val="14"/>
                <w:b w:val="1"/>
                <w:bCs w:val="1"/>
                <w:color w:val="auto"/>
                <w:w w:val="89"/>
              </w:rPr>
              <w:t>2020</w:t>
            </w:r>
          </w:p>
        </w:tc>
        <w:tc>
          <w:tcPr>
            <w:tcW w:w="140" w:type="dxa"/>
            <w:vAlign w:val="bottom"/>
            <w:tcBorders>
              <w:top w:val="single" w:sz="8" w:color="auto"/>
              <w:bottom w:val="single" w:sz="8" w:color="CCEEFF"/>
            </w:tcBorders>
          </w:tcPr>
          <w:p>
            <w:pPr>
              <w:spacing w:after="0"/>
              <w:rPr>
                <w:sz w:val="12"/>
                <w:szCs w:val="12"/>
                <w:color w:val="auto"/>
              </w:rPr>
            </w:pPr>
          </w:p>
        </w:tc>
        <w:tc>
          <w:tcPr>
            <w:tcW w:w="14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00" w:type="dxa"/>
            <w:vAlign w:val="bottom"/>
            <w:tcBorders>
              <w:top w:val="single" w:sz="8" w:color="auto"/>
              <w:bottom w:val="single" w:sz="8" w:color="auto"/>
            </w:tcBorders>
          </w:tcPr>
          <w:p>
            <w:pPr>
              <w:jc w:val="right"/>
              <w:ind w:right="15"/>
              <w:spacing w:after="0" w:line="142" w:lineRule="exact"/>
              <w:rPr>
                <w:sz w:val="20"/>
                <w:szCs w:val="20"/>
                <w:color w:val="auto"/>
              </w:rPr>
            </w:pPr>
            <w:r>
              <w:rPr>
                <w:rFonts w:ascii="Arial" w:cs="Arial" w:eastAsia="Arial" w:hAnsi="Arial"/>
                <w:sz w:val="14"/>
                <w:szCs w:val="14"/>
                <w:b w:val="1"/>
                <w:bCs w:val="1"/>
                <w:color w:val="auto"/>
                <w:w w:val="89"/>
              </w:rPr>
              <w:t>2019</w:t>
            </w:r>
          </w:p>
        </w:tc>
        <w:tc>
          <w:tcPr>
            <w:tcW w:w="60" w:type="dxa"/>
            <w:vAlign w:val="bottom"/>
            <w:tcBorders>
              <w:bottom w:val="single" w:sz="8" w:color="CCEEFF"/>
            </w:tcBorders>
          </w:tcPr>
          <w:p>
            <w:pPr>
              <w:spacing w:after="0"/>
              <w:rPr>
                <w:sz w:val="12"/>
                <w:szCs w:val="12"/>
                <w:color w:val="auto"/>
              </w:rPr>
            </w:pPr>
          </w:p>
        </w:tc>
      </w:tr>
      <w:tr>
        <w:trPr>
          <w:trHeight w:val="209"/>
        </w:trPr>
        <w:tc>
          <w:tcPr>
            <w:tcW w:w="5640" w:type="dxa"/>
            <w:vAlign w:val="bottom"/>
            <w:shd w:val="clear" w:color="auto" w:fill="CCEEFF"/>
          </w:tcPr>
          <w:p>
            <w:pPr>
              <w:spacing w:after="0"/>
              <w:rPr>
                <w:sz w:val="20"/>
                <w:szCs w:val="20"/>
                <w:color w:val="auto"/>
              </w:rPr>
            </w:pPr>
            <w:r>
              <w:rPr>
                <w:rFonts w:ascii="Arial" w:cs="Arial" w:eastAsia="Arial" w:hAnsi="Arial"/>
                <w:sz w:val="18"/>
                <w:szCs w:val="18"/>
                <w:color w:val="auto"/>
              </w:rPr>
              <w:t>Research and development</w:t>
            </w:r>
          </w:p>
        </w:tc>
        <w:tc>
          <w:tcPr>
            <w:tcW w:w="236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398</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442</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787</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807</w:t>
            </w:r>
          </w:p>
        </w:tc>
        <w:tc>
          <w:tcPr>
            <w:tcW w:w="60" w:type="dxa"/>
            <w:vAlign w:val="bottom"/>
            <w:shd w:val="clear" w:color="auto" w:fill="CCEEFF"/>
          </w:tcPr>
          <w:p>
            <w:pPr>
              <w:spacing w:after="0"/>
              <w:rPr>
                <w:sz w:val="18"/>
                <w:szCs w:val="18"/>
                <w:color w:val="auto"/>
              </w:rPr>
            </w:pPr>
          </w:p>
        </w:tc>
      </w:tr>
      <w:tr>
        <w:trPr>
          <w:trHeight w:val="216"/>
        </w:trPr>
        <w:tc>
          <w:tcPr>
            <w:tcW w:w="5640" w:type="dxa"/>
            <w:vAlign w:val="bottom"/>
          </w:tcPr>
          <w:p>
            <w:pPr>
              <w:spacing w:after="0"/>
              <w:rPr>
                <w:sz w:val="20"/>
                <w:szCs w:val="20"/>
                <w:color w:val="auto"/>
              </w:rPr>
            </w:pPr>
            <w:r>
              <w:rPr>
                <w:rFonts w:ascii="Arial" w:cs="Arial" w:eastAsia="Arial" w:hAnsi="Arial"/>
                <w:sz w:val="18"/>
                <w:szCs w:val="18"/>
                <w:color w:val="auto"/>
              </w:rPr>
              <w:t>General and administrative</w:t>
            </w:r>
          </w:p>
        </w:tc>
        <w:tc>
          <w:tcPr>
            <w:tcW w:w="2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93"/>
              </w:rPr>
              <w:t>1,064</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93"/>
              </w:rPr>
              <w:t>1,045</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8"/>
                <w:szCs w:val="18"/>
                <w:color w:val="auto"/>
                <w:w w:val="84"/>
              </w:rPr>
              <w:t>2,304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gridSpan w:val="2"/>
          </w:tcPr>
          <w:p>
            <w:pPr>
              <w:jc w:val="right"/>
              <w:ind w:right="60"/>
              <w:spacing w:after="0"/>
              <w:rPr>
                <w:sz w:val="20"/>
                <w:szCs w:val="20"/>
                <w:color w:val="auto"/>
              </w:rPr>
            </w:pPr>
            <w:r>
              <w:rPr>
                <w:rFonts w:ascii="Arial" w:cs="Arial" w:eastAsia="Arial" w:hAnsi="Arial"/>
                <w:sz w:val="18"/>
                <w:szCs w:val="18"/>
                <w:color w:val="auto"/>
                <w:w w:val="84"/>
              </w:rPr>
              <w:t>1,875</w:t>
            </w:r>
          </w:p>
        </w:tc>
      </w:tr>
      <w:tr>
        <w:trPr>
          <w:trHeight w:val="27"/>
        </w:trPr>
        <w:tc>
          <w:tcPr>
            <w:tcW w:w="5640" w:type="dxa"/>
            <w:vAlign w:val="bottom"/>
          </w:tcPr>
          <w:p>
            <w:pPr>
              <w:spacing w:after="0"/>
              <w:rPr>
                <w:sz w:val="2"/>
                <w:szCs w:val="2"/>
                <w:color w:val="auto"/>
              </w:rPr>
            </w:pPr>
          </w:p>
        </w:tc>
        <w:tc>
          <w:tcPr>
            <w:tcW w:w="236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r>
      <w:tr>
        <w:trPr>
          <w:trHeight w:val="216"/>
        </w:trPr>
        <w:tc>
          <w:tcPr>
            <w:tcW w:w="56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Total stock-based compensation expense</w:t>
            </w:r>
          </w:p>
        </w:tc>
        <w:tc>
          <w:tcPr>
            <w:tcW w:w="236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1,462</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1,487</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4"/>
              </w:rPr>
              <w:t>3,091</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4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4"/>
              </w:rPr>
              <w:t>2,682</w:t>
            </w:r>
          </w:p>
        </w:tc>
      </w:tr>
      <w:tr>
        <w:trPr>
          <w:trHeight w:val="20"/>
        </w:trPr>
        <w:tc>
          <w:tcPr>
            <w:tcW w:w="5640" w:type="dxa"/>
            <w:vAlign w:val="bottom"/>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1" w:lineRule="exact"/>
        <w:rPr>
          <w:sz w:val="20"/>
          <w:szCs w:val="20"/>
          <w:color w:val="auto"/>
        </w:rPr>
      </w:pPr>
    </w:p>
    <w:sectPr>
      <w:pgSz w:w="11900" w:h="16838" w:orient="portrait"/>
      <w:cols w:equalWidth="0" w:num="1">
        <w:col w:w="11024"/>
      </w:cols>
      <w:pgMar w:left="436" w:top="270"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
      <w:numFmt w:val="bullet"/>
      <w:start w:val="1"/>
    </w:lvl>
  </w:abstractNum>
  <w:abstractNum w:abstractNumId="1">
    <w:nsid w:val="3D1B58BA"/>
    <w:multiLevelType w:val="hybridMultilevel"/>
    <w:lvl w:ilvl="0">
      <w:lvlJc w:val="left"/>
      <w:lvlText w:val="•"/>
      <w:numFmt w:val="bullet"/>
      <w:start w:val="1"/>
    </w:lvl>
  </w:abstractNum>
  <w:abstractNum w:abstractNumId="2">
    <w:nsid w:val="507ED7AB"/>
    <w:multiLevelType w:val="hybridMultilevel"/>
    <w:lvl w:ilvl="0">
      <w:lvlJc w:val="left"/>
      <w:lvlText w:val="•"/>
      <w:numFmt w:val="bullet"/>
      <w:start w:val="1"/>
    </w:lvl>
  </w:abstractNum>
  <w:abstractNum w:abstractNumId="3">
    <w:nsid w:val="2EB141F2"/>
    <w:multiLevelType w:val="hybridMultilevel"/>
    <w:lvl w:ilvl="0">
      <w:lvlJc w:val="left"/>
      <w:lvlText w:val="•"/>
      <w:numFmt w:val="bullet"/>
      <w:start w:val="1"/>
    </w:lvl>
  </w:abstractNum>
  <w:abstractNum w:abstractNumId="4">
    <w:nsid w:val="41B71EFB"/>
    <w:multiLevelType w:val="hybridMultilevel"/>
    <w:lvl w:ilvl="0">
      <w:lvlJc w:val="left"/>
      <w:lvlText w:val="•"/>
      <w:numFmt w:val="bullet"/>
      <w:start w:val="1"/>
    </w:lvl>
  </w:abstractNum>
  <w:abstractNum w:abstractNumId="5">
    <w:nsid w:val="79E2A9E3"/>
    <w:multiLevelType w:val="hybridMultilevel"/>
    <w:lvl w:ilvl="0">
      <w:lvlJc w:val="left"/>
      <w:lvlText w:val="(%1)"/>
      <w:numFmt w:val="decimal"/>
      <w:start w:val="650"/>
    </w:lvl>
  </w:abstractNum>
  <w:abstractNum w:abstractNumId="6">
    <w:nsid w:val="7545E146"/>
    <w:multiLevelType w:val="hybridMultilevel"/>
    <w:lvl w:ilvl="0">
      <w:lvlJc w:val="left"/>
      <w:lvlText w:val="(%1)"/>
      <w:numFmt w:val="decimal"/>
      <w:start w:val="650"/>
    </w:lvl>
  </w:abstractNum>
  <w:abstractNum w:abstractNumId="7">
    <w:nsid w:val="515F007C"/>
    <w:multiLevelType w:val="hybridMultilevel"/>
    <w:lvl w:ilvl="0">
      <w:lvlJc w:val="left"/>
      <w:lvlText w:val="(%1)"/>
      <w:numFmt w:val="decimal"/>
      <w:start w:val="1"/>
    </w:lvl>
  </w:abstractNum>
  <w:abstractNum w:abstractNumId="8">
    <w:nsid w:val="5BD062C2"/>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2020-08-06T15:51:09Z</dcterms:created>
  <dcterms:modified xsi:type="dcterms:W3CDTF">2020-08-06T15:51:09Z</dcterms:modified>
</cp:coreProperties>
</file>