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As filed with the Securities and Exchange Commission on March 17, 2023</w:t>
      </w:r>
    </w:p>
    <w:p>
      <w:pPr>
        <w:spacing w:after="0" w:line="31" w:lineRule="exact"/>
        <w:rPr>
          <w:sz w:val="24"/>
          <w:szCs w:val="24"/>
          <w:color w:val="auto"/>
        </w:rPr>
      </w:pPr>
    </w:p>
    <w:p>
      <w:pPr>
        <w:ind w:left="9040"/>
        <w:spacing w:after="0"/>
        <w:rPr>
          <w:sz w:val="20"/>
          <w:szCs w:val="20"/>
          <w:color w:val="auto"/>
        </w:rPr>
      </w:pPr>
      <w:r>
        <w:rPr>
          <w:rFonts w:ascii="Times New Roman" w:cs="Times New Roman" w:eastAsia="Times New Roman" w:hAnsi="Times New Roman"/>
          <w:sz w:val="18"/>
          <w:szCs w:val="18"/>
          <w:b w:val="1"/>
          <w:bCs w:val="1"/>
          <w:color w:val="auto"/>
        </w:rPr>
        <w:t>Registration No.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66040</wp:posOffset>
            </wp:positionV>
            <wp:extent cx="699516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108585</wp:posOffset>
            </wp:positionV>
            <wp:extent cx="699516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198"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32"/>
          <w:szCs w:val="32"/>
          <w:b w:val="1"/>
          <w:bCs w:val="1"/>
          <w:color w:val="auto"/>
        </w:rPr>
        <w:t>UNITED STATES</w:t>
      </w:r>
    </w:p>
    <w:p>
      <w:pPr>
        <w:spacing w:after="0" w:line="37"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jc w:val="center"/>
        <w:ind w:right="-39"/>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218440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07"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32"/>
          <w:szCs w:val="32"/>
          <w:b w:val="1"/>
          <w:bCs w:val="1"/>
          <w:color w:val="auto"/>
        </w:rPr>
        <w:t>FORM S-8</w:t>
      </w:r>
    </w:p>
    <w:p>
      <w:pPr>
        <w:spacing w:after="0" w:line="37"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32"/>
          <w:szCs w:val="32"/>
          <w:b w:val="1"/>
          <w:bCs w:val="1"/>
          <w:color w:val="auto"/>
        </w:rPr>
        <w:t>REGISTRATION STATEMENT</w:t>
      </w:r>
    </w:p>
    <w:p>
      <w:pPr>
        <w:jc w:val="center"/>
        <w:ind w:right="-39"/>
        <w:spacing w:after="0" w:line="230" w:lineRule="auto"/>
        <w:rPr>
          <w:sz w:val="20"/>
          <w:szCs w:val="20"/>
          <w:color w:val="auto"/>
        </w:rPr>
      </w:pPr>
      <w:r>
        <w:rPr>
          <w:rFonts w:ascii="Times New Roman" w:cs="Times New Roman" w:eastAsia="Times New Roman" w:hAnsi="Times New Roman"/>
          <w:sz w:val="22"/>
          <w:szCs w:val="22"/>
          <w:b w:val="1"/>
          <w:bCs w:val="1"/>
          <w:i w:val="1"/>
          <w:iCs w:val="1"/>
          <w:color w:val="auto"/>
        </w:rPr>
        <w:t>UNDER</w:t>
      </w:r>
    </w:p>
    <w:p>
      <w:pPr>
        <w:spacing w:after="0" w:line="1"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22"/>
          <w:szCs w:val="22"/>
          <w:b w:val="1"/>
          <w:bCs w:val="1"/>
          <w:i w:val="1"/>
          <w:iCs w:val="1"/>
          <w:color w:val="auto"/>
        </w:rPr>
        <w:t>THE SECURITIES ACT OF 1933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218440</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03"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43"/>
          <w:szCs w:val="43"/>
          <w:b w:val="1"/>
          <w:bCs w:val="1"/>
          <w:color w:val="auto"/>
        </w:rPr>
        <w:t>EIGER BIOPHARMACEUTICALS, INC.</w:t>
      </w:r>
    </w:p>
    <w:p>
      <w:pPr>
        <w:spacing w:after="0" w:line="58"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236220</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3" w:lineRule="exact"/>
        <w:rPr>
          <w:sz w:val="24"/>
          <w:szCs w:val="24"/>
          <w:color w:val="auto"/>
        </w:rPr>
      </w:pPr>
    </w:p>
    <w:tbl>
      <w:tblPr>
        <w:tblLayout w:type="fixed"/>
        <w:tblInd w:w="1840" w:type="dxa"/>
        <w:tblCellMar>
          <w:top w:w="0" w:type="dxa"/>
          <w:left w:w="0" w:type="dxa"/>
          <w:bottom w:w="0" w:type="dxa"/>
          <w:right w:w="0" w:type="dxa"/>
        </w:tblCellMar>
      </w:tblPr>
      <w:tr>
        <w:trPr>
          <w:trHeight w:val="214"/>
        </w:trPr>
        <w:tc>
          <w:tcPr>
            <w:tcW w:w="3900" w:type="dxa"/>
            <w:vAlign w:val="bottom"/>
          </w:tcPr>
          <w:p>
            <w:pPr>
              <w:jc w:val="center"/>
              <w:ind w:right="1942"/>
              <w:spacing w:after="0"/>
              <w:rPr>
                <w:sz w:val="20"/>
                <w:szCs w:val="20"/>
                <w:color w:val="auto"/>
              </w:rPr>
            </w:pPr>
            <w:r>
              <w:rPr>
                <w:rFonts w:ascii="Times New Roman" w:cs="Times New Roman" w:eastAsia="Times New Roman" w:hAnsi="Times New Roman"/>
                <w:sz w:val="18"/>
                <w:szCs w:val="18"/>
                <w:b w:val="1"/>
                <w:bCs w:val="1"/>
                <w:color w:val="auto"/>
                <w:w w:val="98"/>
              </w:rPr>
              <w:t>Delaware</w:t>
            </w:r>
          </w:p>
        </w:tc>
        <w:tc>
          <w:tcPr>
            <w:tcW w:w="3160" w:type="dxa"/>
            <w:vAlign w:val="bottom"/>
          </w:tcPr>
          <w:p>
            <w:pPr>
              <w:jc w:val="center"/>
              <w:ind w:left="1962"/>
              <w:spacing w:after="0"/>
              <w:rPr>
                <w:sz w:val="20"/>
                <w:szCs w:val="20"/>
                <w:color w:val="auto"/>
              </w:rPr>
            </w:pPr>
            <w:r>
              <w:rPr>
                <w:rFonts w:ascii="Times New Roman" w:cs="Times New Roman" w:eastAsia="Times New Roman" w:hAnsi="Times New Roman"/>
                <w:sz w:val="18"/>
                <w:szCs w:val="18"/>
                <w:b w:val="1"/>
                <w:bCs w:val="1"/>
                <w:color w:val="auto"/>
              </w:rPr>
              <w:t>33-0971591</w:t>
            </w:r>
          </w:p>
        </w:tc>
      </w:tr>
      <w:tr>
        <w:trPr>
          <w:trHeight w:val="148"/>
        </w:trPr>
        <w:tc>
          <w:tcPr>
            <w:tcW w:w="3900" w:type="dxa"/>
            <w:vAlign w:val="bottom"/>
          </w:tcPr>
          <w:p>
            <w:pPr>
              <w:jc w:val="center"/>
              <w:ind w:right="1942"/>
              <w:spacing w:after="0" w:line="149" w:lineRule="exact"/>
              <w:rPr>
                <w:sz w:val="20"/>
                <w:szCs w:val="20"/>
                <w:color w:val="auto"/>
              </w:rPr>
            </w:pPr>
            <w:r>
              <w:rPr>
                <w:rFonts w:ascii="Times New Roman" w:cs="Times New Roman" w:eastAsia="Times New Roman" w:hAnsi="Times New Roman"/>
                <w:sz w:val="14"/>
                <w:szCs w:val="14"/>
                <w:b w:val="1"/>
                <w:bCs w:val="1"/>
                <w:color w:val="auto"/>
              </w:rPr>
              <w:t>(State or other jurisdiction of</w:t>
            </w:r>
          </w:p>
        </w:tc>
        <w:tc>
          <w:tcPr>
            <w:tcW w:w="3160" w:type="dxa"/>
            <w:vAlign w:val="bottom"/>
          </w:tcPr>
          <w:p>
            <w:pPr>
              <w:jc w:val="center"/>
              <w:ind w:left="1962"/>
              <w:spacing w:after="0" w:line="149" w:lineRule="exact"/>
              <w:rPr>
                <w:sz w:val="20"/>
                <w:szCs w:val="20"/>
                <w:color w:val="auto"/>
              </w:rPr>
            </w:pPr>
            <w:r>
              <w:rPr>
                <w:rFonts w:ascii="Times New Roman" w:cs="Times New Roman" w:eastAsia="Times New Roman" w:hAnsi="Times New Roman"/>
                <w:sz w:val="14"/>
                <w:szCs w:val="14"/>
                <w:b w:val="1"/>
                <w:bCs w:val="1"/>
                <w:color w:val="auto"/>
              </w:rPr>
              <w:t>(I.R.S. Employer</w:t>
            </w:r>
          </w:p>
        </w:tc>
      </w:tr>
      <w:tr>
        <w:trPr>
          <w:trHeight w:val="190"/>
        </w:trPr>
        <w:tc>
          <w:tcPr>
            <w:tcW w:w="3900" w:type="dxa"/>
            <w:vAlign w:val="bottom"/>
          </w:tcPr>
          <w:p>
            <w:pPr>
              <w:jc w:val="center"/>
              <w:ind w:right="1942"/>
              <w:spacing w:after="0"/>
              <w:rPr>
                <w:sz w:val="20"/>
                <w:szCs w:val="20"/>
                <w:color w:val="auto"/>
              </w:rPr>
            </w:pPr>
            <w:r>
              <w:rPr>
                <w:rFonts w:ascii="Times New Roman" w:cs="Times New Roman" w:eastAsia="Times New Roman" w:hAnsi="Times New Roman"/>
                <w:sz w:val="14"/>
                <w:szCs w:val="14"/>
                <w:b w:val="1"/>
                <w:bCs w:val="1"/>
                <w:color w:val="auto"/>
              </w:rPr>
              <w:t>incorporation or organization)</w:t>
            </w:r>
          </w:p>
        </w:tc>
        <w:tc>
          <w:tcPr>
            <w:tcW w:w="3160" w:type="dxa"/>
            <w:vAlign w:val="bottom"/>
          </w:tcPr>
          <w:p>
            <w:pPr>
              <w:jc w:val="center"/>
              <w:ind w:left="1962"/>
              <w:spacing w:after="0"/>
              <w:rPr>
                <w:sz w:val="20"/>
                <w:szCs w:val="20"/>
                <w:color w:val="auto"/>
              </w:rPr>
            </w:pPr>
            <w:r>
              <w:rPr>
                <w:rFonts w:ascii="Times New Roman" w:cs="Times New Roman" w:eastAsia="Times New Roman" w:hAnsi="Times New Roman"/>
                <w:sz w:val="14"/>
                <w:szCs w:val="14"/>
                <w:b w:val="1"/>
                <w:bCs w:val="1"/>
                <w:color w:val="auto"/>
              </w:rPr>
              <w:t>Identification No.)</w:t>
            </w:r>
          </w:p>
        </w:tc>
      </w:tr>
    </w:tbl>
    <w:p>
      <w:pPr>
        <w:spacing w:after="0" w:line="190"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2155 Park Blvd., Palo Alto, California 94306</w:t>
      </w:r>
    </w:p>
    <w:p>
      <w:pPr>
        <w:spacing w:after="0" w:line="31"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(Address, including zip code, of principal executive offices)</w:t>
      </w:r>
    </w:p>
    <w:p>
      <w:pPr>
        <w:spacing w:after="0" w:line="203" w:lineRule="exact"/>
        <w:rPr>
          <w:sz w:val="24"/>
          <w:szCs w:val="24"/>
          <w:color w:val="auto"/>
        </w:rPr>
      </w:pPr>
    </w:p>
    <w:p>
      <w:pPr>
        <w:jc w:val="center"/>
        <w:ind w:left="500" w:right="1920"/>
        <w:spacing w:after="0" w:line="256" w:lineRule="auto"/>
        <w:rPr>
          <w:sz w:val="20"/>
          <w:szCs w:val="20"/>
          <w:color w:val="auto"/>
        </w:rPr>
      </w:pPr>
      <w:r>
        <w:rPr>
          <w:rFonts w:ascii="Times New Roman" w:cs="Times New Roman" w:eastAsia="Times New Roman" w:hAnsi="Times New Roman"/>
          <w:sz w:val="18"/>
          <w:szCs w:val="18"/>
          <w:b w:val="1"/>
          <w:bCs w:val="1"/>
          <w:color w:val="auto"/>
        </w:rPr>
        <w:t>Eiger BioPharmaceuticals, Inc. Amended and Restated 2013 Equity Incentive Plan Eiger BioPharmaceuticals, Inc. Amended and Restated 2013 Employee Stock Purchase Plan Eiger BioPharmaceuticals, Inc. 2021 Inducement Plan</w:t>
      </w:r>
    </w:p>
    <w:p>
      <w:pPr>
        <w:spacing w:after="0" w:line="1"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4"/>
          <w:szCs w:val="14"/>
          <w:b w:val="1"/>
          <w:bCs w:val="1"/>
          <w:color w:val="auto"/>
        </w:rPr>
        <w:t>(Full title of the plans)</w:t>
      </w:r>
    </w:p>
    <w:p>
      <w:pPr>
        <w:spacing w:after="0" w:line="188"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David Apelian</w:t>
      </w:r>
    </w:p>
    <w:p>
      <w:pPr>
        <w:spacing w:after="0" w:line="31"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Interim President and Chief Executive Officer</w:t>
      </w:r>
    </w:p>
    <w:p>
      <w:pPr>
        <w:spacing w:after="0" w:line="9"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Eiger BioPharmaceuticals, Inc.</w:t>
      </w:r>
    </w:p>
    <w:p>
      <w:pPr>
        <w:spacing w:after="0" w:line="9"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2155 Park Blvd.</w:t>
      </w:r>
    </w:p>
    <w:p>
      <w:pPr>
        <w:spacing w:after="0" w:line="9"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Palo Alto, California 94306</w:t>
      </w:r>
    </w:p>
    <w:p>
      <w:pPr>
        <w:spacing w:after="0" w:line="9"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(650) 272-6138</w:t>
      </w:r>
    </w:p>
    <w:p>
      <w:pPr>
        <w:spacing w:after="0" w:line="2"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4"/>
          <w:szCs w:val="14"/>
          <w:b w:val="1"/>
          <w:bCs w:val="1"/>
          <w:color w:val="auto"/>
        </w:rPr>
        <w:t>(Name, address, including zip code and telephone number, including area code, of agent for service)</w:t>
      </w:r>
    </w:p>
    <w:p>
      <w:pPr>
        <w:spacing w:after="0" w:line="188"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i w:val="1"/>
          <w:iCs w:val="1"/>
          <w:color w:val="auto"/>
        </w:rPr>
        <w:t>Copies to:</w:t>
      </w:r>
    </w:p>
    <w:p>
      <w:pPr>
        <w:spacing w:after="0" w:line="225"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Carlton Fleming</w:t>
      </w:r>
    </w:p>
    <w:p>
      <w:pPr>
        <w:spacing w:after="0" w:line="31"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Sidley Austin LLP</w:t>
      </w:r>
    </w:p>
    <w:p>
      <w:pPr>
        <w:spacing w:after="0" w:line="9"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555 California Street, Suite 2000</w:t>
      </w:r>
    </w:p>
    <w:p>
      <w:pPr>
        <w:spacing w:after="0" w:line="9"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San Francisco, California 94104</w:t>
      </w:r>
    </w:p>
    <w:p>
      <w:pPr>
        <w:spacing w:after="0" w:line="9"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(415) 772-1207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237490</wp:posOffset>
            </wp:positionV>
            <wp:extent cx="147447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65" w:lineRule="exact"/>
        <w:rPr>
          <w:sz w:val="24"/>
          <w:szCs w:val="24"/>
          <w:color w:val="auto"/>
        </w:rPr>
      </w:pPr>
    </w:p>
    <w:p>
      <w:pPr>
        <w:ind w:right="40"/>
        <w:spacing w:after="0" w:line="266" w:lineRule="auto"/>
        <w:rPr>
          <w:sz w:val="20"/>
          <w:szCs w:val="20"/>
          <w:color w:val="auto"/>
        </w:rPr>
      </w:pPr>
      <w:r>
        <w:rPr>
          <w:rFonts w:ascii="Times New Roman" w:cs="Times New Roman" w:eastAsia="Times New Roman" w:hAnsi="Times New Roman"/>
          <w:sz w:val="18"/>
          <w:szCs w:val="18"/>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174" w:lineRule="exact"/>
        <w:rPr>
          <w:sz w:val="24"/>
          <w:szCs w:val="24"/>
          <w:color w:val="auto"/>
        </w:rPr>
      </w:pPr>
    </w:p>
    <w:tbl>
      <w:tblPr>
        <w:tblLayout w:type="fixed"/>
        <w:tblInd w:w="0" w:type="dxa"/>
        <w:tblCellMar>
          <w:top w:w="0" w:type="dxa"/>
          <w:left w:w="0" w:type="dxa"/>
          <w:bottom w:w="0" w:type="dxa"/>
          <w:right w:w="0" w:type="dxa"/>
        </w:tblCellMar>
      </w:tblPr>
      <w:tr>
        <w:trPr>
          <w:trHeight w:val="283"/>
        </w:trPr>
        <w:tc>
          <w:tcPr>
            <w:tcW w:w="1800" w:type="dxa"/>
            <w:vAlign w:val="bottom"/>
          </w:tcPr>
          <w:p>
            <w:pPr>
              <w:spacing w:after="0"/>
              <w:rPr>
                <w:sz w:val="20"/>
                <w:szCs w:val="20"/>
                <w:color w:val="auto"/>
              </w:rPr>
            </w:pPr>
            <w:r>
              <w:rPr>
                <w:rFonts w:ascii="Times New Roman" w:cs="Times New Roman" w:eastAsia="Times New Roman" w:hAnsi="Times New Roman"/>
                <w:sz w:val="18"/>
                <w:szCs w:val="18"/>
                <w:color w:val="auto"/>
              </w:rPr>
              <w:t>Large accelerated filer</w:t>
            </w:r>
          </w:p>
        </w:tc>
        <w:tc>
          <w:tcPr>
            <w:tcW w:w="3460" w:type="dxa"/>
            <w:vAlign w:val="bottom"/>
          </w:tcPr>
          <w:p>
            <w:pPr>
              <w:ind w:left="200"/>
              <w:spacing w:after="0" w:line="181" w:lineRule="exact"/>
              <w:rPr>
                <w:sz w:val="20"/>
                <w:szCs w:val="20"/>
                <w:color w:val="auto"/>
              </w:rPr>
            </w:pPr>
            <w:r>
              <w:rPr>
                <w:rFonts w:ascii="MS PGothic" w:cs="MS PGothic" w:eastAsia="MS PGothic" w:hAnsi="MS PGothic"/>
                <w:sz w:val="18"/>
                <w:szCs w:val="18"/>
                <w:color w:val="auto"/>
              </w:rPr>
              <w:t>☐</w:t>
            </w:r>
          </w:p>
        </w:tc>
        <w:tc>
          <w:tcPr>
            <w:tcW w:w="5320" w:type="dxa"/>
            <w:vAlign w:val="bottom"/>
          </w:tcPr>
          <w:p>
            <w:pPr>
              <w:ind w:left="3120"/>
              <w:spacing w:after="0"/>
              <w:rPr>
                <w:sz w:val="20"/>
                <w:szCs w:val="20"/>
                <w:color w:val="auto"/>
              </w:rPr>
            </w:pPr>
            <w:r>
              <w:rPr>
                <w:rFonts w:ascii="Times New Roman" w:cs="Times New Roman" w:eastAsia="Times New Roman" w:hAnsi="Times New Roman"/>
                <w:sz w:val="18"/>
                <w:szCs w:val="18"/>
                <w:color w:val="auto"/>
              </w:rPr>
              <w:t>Accelerated filer</w:t>
            </w:r>
          </w:p>
        </w:tc>
        <w:tc>
          <w:tcPr>
            <w:tcW w:w="380" w:type="dxa"/>
            <w:vAlign w:val="bottom"/>
          </w:tcPr>
          <w:p>
            <w:pPr>
              <w:ind w:left="22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24"/>
        </w:trPr>
        <w:tc>
          <w:tcPr>
            <w:tcW w:w="1800" w:type="dxa"/>
            <w:vAlign w:val="bottom"/>
          </w:tcPr>
          <w:p>
            <w:pPr>
              <w:spacing w:after="0"/>
              <w:rPr>
                <w:sz w:val="20"/>
                <w:szCs w:val="20"/>
                <w:color w:val="auto"/>
              </w:rPr>
            </w:pPr>
            <w:r>
              <w:rPr>
                <w:rFonts w:ascii="Times New Roman" w:cs="Times New Roman" w:eastAsia="Times New Roman" w:hAnsi="Times New Roman"/>
                <w:sz w:val="18"/>
                <w:szCs w:val="18"/>
                <w:color w:val="auto"/>
              </w:rPr>
              <w:t>Non-accelerated filer</w:t>
            </w:r>
          </w:p>
        </w:tc>
        <w:tc>
          <w:tcPr>
            <w:tcW w:w="3460" w:type="dxa"/>
            <w:vAlign w:val="bottom"/>
          </w:tcPr>
          <w:p>
            <w:pPr>
              <w:ind w:left="200"/>
              <w:spacing w:after="0" w:line="181" w:lineRule="exact"/>
              <w:rPr>
                <w:sz w:val="20"/>
                <w:szCs w:val="20"/>
                <w:color w:val="auto"/>
              </w:rPr>
            </w:pPr>
            <w:r>
              <w:rPr>
                <w:rFonts w:ascii="MS PGothic" w:cs="MS PGothic" w:eastAsia="MS PGothic" w:hAnsi="MS PGothic"/>
                <w:sz w:val="18"/>
                <w:szCs w:val="18"/>
                <w:color w:val="auto"/>
              </w:rPr>
              <w:t>☒</w:t>
            </w:r>
          </w:p>
        </w:tc>
        <w:tc>
          <w:tcPr>
            <w:tcW w:w="5320" w:type="dxa"/>
            <w:vAlign w:val="bottom"/>
          </w:tcPr>
          <w:p>
            <w:pPr>
              <w:ind w:left="3120"/>
              <w:spacing w:after="0"/>
              <w:rPr>
                <w:sz w:val="20"/>
                <w:szCs w:val="20"/>
                <w:color w:val="auto"/>
              </w:rPr>
            </w:pPr>
            <w:r>
              <w:rPr>
                <w:rFonts w:ascii="Times New Roman" w:cs="Times New Roman" w:eastAsia="Times New Roman" w:hAnsi="Times New Roman"/>
                <w:sz w:val="18"/>
                <w:szCs w:val="18"/>
                <w:color w:val="auto"/>
              </w:rPr>
              <w:t>Smaller reporting company</w:t>
            </w:r>
          </w:p>
        </w:tc>
        <w:tc>
          <w:tcPr>
            <w:tcW w:w="380" w:type="dxa"/>
            <w:vAlign w:val="bottom"/>
          </w:tcPr>
          <w:p>
            <w:pPr>
              <w:ind w:left="22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24"/>
        </w:trPr>
        <w:tc>
          <w:tcPr>
            <w:tcW w:w="1800" w:type="dxa"/>
            <w:vAlign w:val="bottom"/>
          </w:tcPr>
          <w:p>
            <w:pPr>
              <w:spacing w:after="0"/>
              <w:rPr>
                <w:sz w:val="24"/>
                <w:szCs w:val="24"/>
                <w:color w:val="auto"/>
              </w:rPr>
            </w:pPr>
          </w:p>
        </w:tc>
        <w:tc>
          <w:tcPr>
            <w:tcW w:w="3460" w:type="dxa"/>
            <w:vAlign w:val="bottom"/>
          </w:tcPr>
          <w:p>
            <w:pPr>
              <w:spacing w:after="0"/>
              <w:rPr>
                <w:sz w:val="24"/>
                <w:szCs w:val="24"/>
                <w:color w:val="auto"/>
              </w:rPr>
            </w:pPr>
          </w:p>
        </w:tc>
        <w:tc>
          <w:tcPr>
            <w:tcW w:w="5320" w:type="dxa"/>
            <w:vAlign w:val="bottom"/>
          </w:tcPr>
          <w:p>
            <w:pPr>
              <w:ind w:left="3120"/>
              <w:spacing w:after="0"/>
              <w:rPr>
                <w:sz w:val="20"/>
                <w:szCs w:val="20"/>
                <w:color w:val="auto"/>
              </w:rPr>
            </w:pPr>
            <w:r>
              <w:rPr>
                <w:rFonts w:ascii="Times New Roman" w:cs="Times New Roman" w:eastAsia="Times New Roman" w:hAnsi="Times New Roman"/>
                <w:sz w:val="18"/>
                <w:szCs w:val="18"/>
                <w:color w:val="auto"/>
              </w:rPr>
              <w:t>Emerging growth company</w:t>
            </w:r>
          </w:p>
        </w:tc>
        <w:tc>
          <w:tcPr>
            <w:tcW w:w="380" w:type="dxa"/>
            <w:vAlign w:val="bottom"/>
          </w:tcPr>
          <w:p>
            <w:pPr>
              <w:ind w:left="22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178" w:lineRule="exact"/>
        <w:rPr>
          <w:sz w:val="24"/>
          <w:szCs w:val="24"/>
          <w:color w:val="auto"/>
        </w:rPr>
      </w:pPr>
    </w:p>
    <w:p>
      <w:pPr>
        <w:ind w:right="240"/>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7(a)(2)(B) of the Securities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133985</wp:posOffset>
            </wp:positionV>
            <wp:extent cx="699516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176530</wp:posOffset>
            </wp:positionV>
            <wp:extent cx="699516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0960"/>
          </w:cols>
          <w:pgMar w:left="440" w:top="225" w:right="499" w:bottom="1440" w:gutter="0" w:footer="0" w:header="0"/>
        </w:sectPr>
      </w:pPr>
    </w:p>
    <w:bookmarkStart w:id="1" w:name="page2"/>
    <w:bookmarkEnd w:id="1"/>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EXPLANATORY NOTE</w:t>
      </w:r>
    </w:p>
    <w:p>
      <w:pPr>
        <w:spacing w:after="0" w:line="229" w:lineRule="exact"/>
        <w:rPr>
          <w:sz w:val="20"/>
          <w:szCs w:val="20"/>
          <w:color w:val="auto"/>
        </w:rPr>
      </w:pPr>
    </w:p>
    <w:p>
      <w:pPr>
        <w:spacing w:after="0" w:line="25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Eiger BioPharmaceuticals, Inc. (the “Registrant”) is filing this Registration Statement on Form S-8 for the purpose of registering (a) 2,203,714 shares of the Registrant’s common stock (the “Common Stock”) issuable to eligible persons under the Eiger BioPharmaceuticals, Inc. Amended and Restated 2013 Equity Incentive Plan (the “2013 Plan”), which Common Stock is in addition to the shares of Common Stock registered on the Registrant’s Form S-8 filed on January 30, 2014 (</w:t>
      </w:r>
      <w:hyperlink r:id="rId17">
        <w:r>
          <w:rPr>
            <w:rFonts w:ascii="Times New Roman" w:cs="Times New Roman" w:eastAsia="Times New Roman" w:hAnsi="Times New Roman"/>
            <w:sz w:val="18"/>
            <w:szCs w:val="18"/>
            <w:u w:val="single" w:color="auto"/>
            <w:color w:val="0000EE"/>
          </w:rPr>
          <w:t>File No. 333-193662</w:t>
        </w:r>
      </w:hyperlink>
      <w:r>
        <w:rPr>
          <w:rFonts w:ascii="Times New Roman" w:cs="Times New Roman" w:eastAsia="Times New Roman" w:hAnsi="Times New Roman"/>
          <w:sz w:val="18"/>
          <w:szCs w:val="18"/>
          <w:color w:val="auto"/>
        </w:rPr>
        <w:t>), March 31, 2015 (</w:t>
      </w:r>
      <w:hyperlink r:id="rId18">
        <w:r>
          <w:rPr>
            <w:rFonts w:ascii="Times New Roman" w:cs="Times New Roman" w:eastAsia="Times New Roman" w:hAnsi="Times New Roman"/>
            <w:sz w:val="18"/>
            <w:szCs w:val="18"/>
            <w:u w:val="single" w:color="auto"/>
            <w:color w:val="0000EE"/>
          </w:rPr>
          <w:t>File No. 333-203154</w:t>
        </w:r>
      </w:hyperlink>
      <w:r>
        <w:rPr>
          <w:rFonts w:ascii="Times New Roman" w:cs="Times New Roman" w:eastAsia="Times New Roman" w:hAnsi="Times New Roman"/>
          <w:sz w:val="18"/>
          <w:szCs w:val="18"/>
          <w:color w:val="auto"/>
        </w:rPr>
        <w:t>), April 29, 2016 (</w:t>
      </w:r>
      <w:hyperlink r:id="rId19">
        <w:r>
          <w:rPr>
            <w:rFonts w:ascii="Times New Roman" w:cs="Times New Roman" w:eastAsia="Times New Roman" w:hAnsi="Times New Roman"/>
            <w:sz w:val="18"/>
            <w:szCs w:val="18"/>
            <w:u w:val="single" w:color="auto"/>
            <w:color w:val="0000EE"/>
          </w:rPr>
          <w:t>File No. 333-211009</w:t>
        </w:r>
      </w:hyperlink>
      <w:r>
        <w:rPr>
          <w:rFonts w:ascii="Times New Roman" w:cs="Times New Roman" w:eastAsia="Times New Roman" w:hAnsi="Times New Roman"/>
          <w:sz w:val="18"/>
          <w:szCs w:val="18"/>
          <w:color w:val="auto"/>
        </w:rPr>
        <w:t>), August 11, 2017 (</w:t>
      </w:r>
      <w:hyperlink r:id="rId20">
        <w:r>
          <w:rPr>
            <w:rFonts w:ascii="Times New Roman" w:cs="Times New Roman" w:eastAsia="Times New Roman" w:hAnsi="Times New Roman"/>
            <w:sz w:val="18"/>
            <w:szCs w:val="18"/>
            <w:u w:val="single" w:color="auto"/>
            <w:color w:val="0000EE"/>
          </w:rPr>
          <w:t>File No. 333-219936</w:t>
        </w:r>
      </w:hyperlink>
      <w:r>
        <w:rPr>
          <w:rFonts w:ascii="Times New Roman" w:cs="Times New Roman" w:eastAsia="Times New Roman" w:hAnsi="Times New Roman"/>
          <w:sz w:val="18"/>
          <w:szCs w:val="18"/>
          <w:color w:val="auto"/>
        </w:rPr>
        <w:t>), May 11, 2018 (</w:t>
      </w:r>
      <w:hyperlink r:id="rId21">
        <w:r>
          <w:rPr>
            <w:rFonts w:ascii="Times New Roman" w:cs="Times New Roman" w:eastAsia="Times New Roman" w:hAnsi="Times New Roman"/>
            <w:sz w:val="18"/>
            <w:szCs w:val="18"/>
            <w:u w:val="single" w:color="auto"/>
            <w:color w:val="0000EE"/>
          </w:rPr>
          <w:t>File No. 333-224872</w:t>
        </w:r>
      </w:hyperlink>
      <w:r>
        <w:rPr>
          <w:rFonts w:ascii="Times New Roman" w:cs="Times New Roman" w:eastAsia="Times New Roman" w:hAnsi="Times New Roman"/>
          <w:sz w:val="18"/>
          <w:szCs w:val="18"/>
          <w:color w:val="auto"/>
        </w:rPr>
        <w:t>), March 14, 2019 (</w:t>
      </w:r>
      <w:hyperlink r:id="rId22">
        <w:r>
          <w:rPr>
            <w:rFonts w:ascii="Times New Roman" w:cs="Times New Roman" w:eastAsia="Times New Roman" w:hAnsi="Times New Roman"/>
            <w:sz w:val="18"/>
            <w:szCs w:val="18"/>
            <w:u w:val="single" w:color="auto"/>
            <w:color w:val="0000EE"/>
          </w:rPr>
          <w:t>File No. 333-230287</w:t>
        </w:r>
      </w:hyperlink>
      <w:r>
        <w:rPr>
          <w:rFonts w:ascii="Times New Roman" w:cs="Times New Roman" w:eastAsia="Times New Roman" w:hAnsi="Times New Roman"/>
          <w:sz w:val="18"/>
          <w:szCs w:val="18"/>
          <w:color w:val="auto"/>
        </w:rPr>
        <w:t>), March 13, 2020 (</w:t>
      </w:r>
      <w:hyperlink r:id="rId23">
        <w:r>
          <w:rPr>
            <w:rFonts w:ascii="Times New Roman" w:cs="Times New Roman" w:eastAsia="Times New Roman" w:hAnsi="Times New Roman"/>
            <w:sz w:val="18"/>
            <w:szCs w:val="18"/>
            <w:u w:val="single" w:color="auto"/>
            <w:color w:val="0000EE"/>
          </w:rPr>
          <w:t>File No. 333-237156</w:t>
        </w:r>
      </w:hyperlink>
      <w:r>
        <w:rPr>
          <w:rFonts w:ascii="Times New Roman" w:cs="Times New Roman" w:eastAsia="Times New Roman" w:hAnsi="Times New Roman"/>
          <w:sz w:val="18"/>
          <w:szCs w:val="18"/>
          <w:color w:val="auto"/>
        </w:rPr>
        <w:t>), March 9, 2021 (</w:t>
      </w:r>
      <w:hyperlink r:id="rId24">
        <w:r>
          <w:rPr>
            <w:rFonts w:ascii="Times New Roman" w:cs="Times New Roman" w:eastAsia="Times New Roman" w:hAnsi="Times New Roman"/>
            <w:sz w:val="18"/>
            <w:szCs w:val="18"/>
            <w:u w:val="single" w:color="auto"/>
            <w:color w:val="0000EE"/>
          </w:rPr>
          <w:t>File No. 333-254039</w:t>
        </w:r>
      </w:hyperlink>
      <w:r>
        <w:rPr>
          <w:rFonts w:ascii="Times New Roman" w:cs="Times New Roman" w:eastAsia="Times New Roman" w:hAnsi="Times New Roman"/>
          <w:sz w:val="18"/>
          <w:szCs w:val="18"/>
          <w:color w:val="auto"/>
        </w:rPr>
        <w:t>), and March 10, 2022 (</w:t>
      </w:r>
      <w:hyperlink r:id="rId25">
        <w:r>
          <w:rPr>
            <w:rFonts w:ascii="Times New Roman" w:cs="Times New Roman" w:eastAsia="Times New Roman" w:hAnsi="Times New Roman"/>
            <w:sz w:val="18"/>
            <w:szCs w:val="18"/>
            <w:u w:val="single" w:color="auto"/>
            <w:color w:val="0000EE"/>
          </w:rPr>
          <w:t>File No. 333-263460</w:t>
        </w:r>
      </w:hyperlink>
      <w:r>
        <w:rPr>
          <w:rFonts w:ascii="Times New Roman" w:cs="Times New Roman" w:eastAsia="Times New Roman" w:hAnsi="Times New Roman"/>
          <w:sz w:val="18"/>
          <w:szCs w:val="18"/>
          <w:color w:val="auto"/>
        </w:rPr>
        <w:t xml:space="preserve">), (b) 165,000 shares of Common Stock issuable to eligible persons under the Eiger BioPharmaceuticals, Inc. Amended and Restated 2013 Employee Stock Purchase Plan (the “2013 ESPP”), which Common Stock is in addition to </w:t>
      </w:r>
      <w:hyperlink r:id="rId18">
        <w:r>
          <w:rPr>
            <w:rFonts w:ascii="Times New Roman" w:cs="Times New Roman" w:eastAsia="Times New Roman" w:hAnsi="Times New Roman"/>
            <w:sz w:val="18"/>
            <w:szCs w:val="18"/>
            <w:color w:val="auto"/>
          </w:rPr>
          <w:t>the shares of Common Stock registered on the Registrant’s Form S-8 filed on January 30, 2014 (</w:t>
        </w:r>
        <w:r>
          <w:rPr>
            <w:rFonts w:ascii="Times New Roman" w:cs="Times New Roman" w:eastAsia="Times New Roman" w:hAnsi="Times New Roman"/>
            <w:sz w:val="18"/>
            <w:szCs w:val="18"/>
            <w:u w:val="single" w:color="auto"/>
            <w:color w:val="0000EE"/>
          </w:rPr>
          <w:t>File No. 333-193662</w:t>
        </w:r>
        <w:r>
          <w:rPr>
            <w:rFonts w:ascii="Times New Roman" w:cs="Times New Roman" w:eastAsia="Times New Roman" w:hAnsi="Times New Roman"/>
            <w:sz w:val="18"/>
            <w:szCs w:val="18"/>
            <w:color w:val="auto"/>
          </w:rPr>
          <w:t>), March 31, 2015 (</w:t>
        </w:r>
        <w:r>
          <w:rPr>
            <w:rFonts w:ascii="Times New Roman" w:cs="Times New Roman" w:eastAsia="Times New Roman" w:hAnsi="Times New Roman"/>
            <w:sz w:val="18"/>
            <w:szCs w:val="18"/>
            <w:u w:val="single" w:color="auto"/>
            <w:color w:val="0000EE"/>
          </w:rPr>
          <w:t>File</w:t>
        </w:r>
      </w:hyperlink>
    </w:p>
    <w:p>
      <w:pPr>
        <w:spacing w:after="0" w:line="1" w:lineRule="exact"/>
        <w:rPr>
          <w:rFonts w:ascii="Times New Roman" w:cs="Times New Roman" w:eastAsia="Times New Roman" w:hAnsi="Times New Roman"/>
          <w:sz w:val="18"/>
          <w:szCs w:val="18"/>
          <w:color w:val="auto"/>
        </w:rPr>
      </w:pPr>
    </w:p>
    <w:p>
      <w:pPr>
        <w:ind w:right="200"/>
        <w:spacing w:after="0" w:line="250" w:lineRule="auto"/>
        <w:rPr>
          <w:rFonts w:ascii="Times New Roman" w:cs="Times New Roman" w:eastAsia="Times New Roman" w:hAnsi="Times New Roman"/>
          <w:sz w:val="18"/>
          <w:szCs w:val="18"/>
          <w:color w:val="000000"/>
        </w:rPr>
      </w:pPr>
      <w:hyperlink r:id="rId18">
        <w:r>
          <w:rPr>
            <w:rFonts w:ascii="Times New Roman" w:cs="Times New Roman" w:eastAsia="Times New Roman" w:hAnsi="Times New Roman"/>
            <w:sz w:val="18"/>
            <w:szCs w:val="18"/>
            <w:u w:val="single" w:color="auto"/>
            <w:color w:val="0000EE"/>
          </w:rPr>
          <w:t>No. 333-203154</w:t>
        </w:r>
        <w:r>
          <w:rPr>
            <w:rFonts w:ascii="Times New Roman" w:cs="Times New Roman" w:eastAsia="Times New Roman" w:hAnsi="Times New Roman"/>
            <w:sz w:val="18"/>
            <w:szCs w:val="18"/>
            <w:color w:val="000000"/>
          </w:rPr>
          <w:t>), April 29, 2016 (</w:t>
        </w:r>
      </w:hyperlink>
      <w:hyperlink r:id="rId19">
        <w:r>
          <w:rPr>
            <w:rFonts w:ascii="Times New Roman" w:cs="Times New Roman" w:eastAsia="Times New Roman" w:hAnsi="Times New Roman"/>
            <w:sz w:val="18"/>
            <w:szCs w:val="18"/>
            <w:u w:val="single" w:color="auto"/>
            <w:color w:val="0000EE"/>
          </w:rPr>
          <w:t>File No. 333-211009</w:t>
        </w:r>
      </w:hyperlink>
      <w:hyperlink r:id="rId18">
        <w:r>
          <w:rPr>
            <w:rFonts w:ascii="Times New Roman" w:cs="Times New Roman" w:eastAsia="Times New Roman" w:hAnsi="Times New Roman"/>
            <w:sz w:val="18"/>
            <w:szCs w:val="18"/>
            <w:color w:val="000000"/>
          </w:rPr>
          <w:t>), August 11, 2017 (</w:t>
        </w:r>
      </w:hyperlink>
      <w:hyperlink r:id="rId20">
        <w:r>
          <w:rPr>
            <w:rFonts w:ascii="Times New Roman" w:cs="Times New Roman" w:eastAsia="Times New Roman" w:hAnsi="Times New Roman"/>
            <w:sz w:val="18"/>
            <w:szCs w:val="18"/>
            <w:u w:val="single" w:color="auto"/>
            <w:color w:val="0000EE"/>
          </w:rPr>
          <w:t>File No. 333-219936</w:t>
        </w:r>
      </w:hyperlink>
      <w:hyperlink r:id="rId18">
        <w:r>
          <w:rPr>
            <w:rFonts w:ascii="Times New Roman" w:cs="Times New Roman" w:eastAsia="Times New Roman" w:hAnsi="Times New Roman"/>
            <w:sz w:val="18"/>
            <w:szCs w:val="18"/>
            <w:color w:val="000000"/>
          </w:rPr>
          <w:t>), May 11, 2018 (</w:t>
        </w:r>
      </w:hyperlink>
      <w:hyperlink r:id="rId21">
        <w:r>
          <w:rPr>
            <w:rFonts w:ascii="Times New Roman" w:cs="Times New Roman" w:eastAsia="Times New Roman" w:hAnsi="Times New Roman"/>
            <w:sz w:val="18"/>
            <w:szCs w:val="18"/>
            <w:u w:val="single" w:color="auto"/>
            <w:color w:val="0000EE"/>
          </w:rPr>
          <w:t>File No. 333-224872</w:t>
        </w:r>
      </w:hyperlink>
      <w:hyperlink r:id="rId18">
        <w:r>
          <w:rPr>
            <w:rFonts w:ascii="Times New Roman" w:cs="Times New Roman" w:eastAsia="Times New Roman" w:hAnsi="Times New Roman"/>
            <w:sz w:val="18"/>
            <w:szCs w:val="18"/>
            <w:color w:val="000000"/>
          </w:rPr>
          <w:t xml:space="preserve">), </w:t>
        </w:r>
      </w:hyperlink>
      <w:r>
        <w:rPr>
          <w:rFonts w:ascii="Times New Roman" w:cs="Times New Roman" w:eastAsia="Times New Roman" w:hAnsi="Times New Roman"/>
          <w:sz w:val="18"/>
          <w:szCs w:val="18"/>
          <w:color w:val="0000EE"/>
        </w:rPr>
        <w:t xml:space="preserve">March </w:t>
      </w:r>
      <w:r>
        <w:rPr>
          <w:rFonts w:ascii="Times New Roman" w:cs="Times New Roman" w:eastAsia="Times New Roman" w:hAnsi="Times New Roman"/>
          <w:sz w:val="18"/>
          <w:szCs w:val="18"/>
          <w:color w:val="000000"/>
        </w:rPr>
        <w:t>14,</w:t>
      </w:r>
      <w:r>
        <w:rPr>
          <w:rFonts w:ascii="Times New Roman" w:cs="Times New Roman" w:eastAsia="Times New Roman" w:hAnsi="Times New Roman"/>
          <w:sz w:val="18"/>
          <w:szCs w:val="18"/>
          <w:color w:val="0000EE"/>
        </w:rPr>
        <w:t xml:space="preserve"> </w:t>
      </w:r>
      <w:hyperlink r:id="rId25">
        <w:r>
          <w:rPr>
            <w:rFonts w:ascii="Times New Roman" w:cs="Times New Roman" w:eastAsia="Times New Roman" w:hAnsi="Times New Roman"/>
            <w:sz w:val="18"/>
            <w:szCs w:val="18"/>
            <w:color w:val="000000"/>
          </w:rPr>
          <w:t>2019 (</w:t>
        </w:r>
        <w:r>
          <w:rPr>
            <w:rFonts w:ascii="Times New Roman" w:cs="Times New Roman" w:eastAsia="Times New Roman" w:hAnsi="Times New Roman"/>
            <w:sz w:val="18"/>
            <w:szCs w:val="18"/>
            <w:u w:val="single" w:color="auto"/>
            <w:color w:val="0000EE"/>
          </w:rPr>
          <w:t>File No. 333-230287</w:t>
        </w:r>
        <w:r>
          <w:rPr>
            <w:rFonts w:ascii="Times New Roman" w:cs="Times New Roman" w:eastAsia="Times New Roman" w:hAnsi="Times New Roman"/>
            <w:sz w:val="18"/>
            <w:szCs w:val="18"/>
            <w:color w:val="000000"/>
          </w:rPr>
          <w:t>), March 13, 2020 (</w:t>
        </w:r>
        <w:r>
          <w:rPr>
            <w:rFonts w:ascii="Times New Roman" w:cs="Times New Roman" w:eastAsia="Times New Roman" w:hAnsi="Times New Roman"/>
            <w:sz w:val="18"/>
            <w:szCs w:val="18"/>
            <w:u w:val="single" w:color="auto"/>
            <w:color w:val="0000EE"/>
          </w:rPr>
          <w:t>File No. 333-237156</w:t>
        </w:r>
        <w:r>
          <w:rPr>
            <w:rFonts w:ascii="Times New Roman" w:cs="Times New Roman" w:eastAsia="Times New Roman" w:hAnsi="Times New Roman"/>
            <w:sz w:val="18"/>
            <w:szCs w:val="18"/>
            <w:color w:val="000000"/>
          </w:rPr>
          <w:t>), March 9, 2021 (</w:t>
        </w:r>
        <w:r>
          <w:rPr>
            <w:rFonts w:ascii="Times New Roman" w:cs="Times New Roman" w:eastAsia="Times New Roman" w:hAnsi="Times New Roman"/>
            <w:sz w:val="18"/>
            <w:szCs w:val="18"/>
            <w:u w:val="single" w:color="auto"/>
            <w:color w:val="0000EE"/>
          </w:rPr>
          <w:t>File No. 333-254039</w:t>
        </w:r>
        <w:r>
          <w:rPr>
            <w:rFonts w:ascii="Times New Roman" w:cs="Times New Roman" w:eastAsia="Times New Roman" w:hAnsi="Times New Roman"/>
            <w:sz w:val="18"/>
            <w:szCs w:val="18"/>
            <w:color w:val="000000"/>
          </w:rPr>
          <w:t>), and March 10, 2022 (</w:t>
        </w:r>
        <w:r>
          <w:rPr>
            <w:rFonts w:ascii="Times New Roman" w:cs="Times New Roman" w:eastAsia="Times New Roman" w:hAnsi="Times New Roman"/>
            <w:sz w:val="18"/>
            <w:szCs w:val="18"/>
            <w:u w:val="single" w:color="auto"/>
            <w:color w:val="0000EE"/>
          </w:rPr>
          <w:t>File</w:t>
        </w:r>
      </w:hyperlink>
    </w:p>
    <w:p>
      <w:pPr>
        <w:spacing w:after="0" w:line="1" w:lineRule="exact"/>
        <w:rPr>
          <w:rFonts w:ascii="Times New Roman" w:cs="Times New Roman" w:eastAsia="Times New Roman" w:hAnsi="Times New Roman"/>
          <w:sz w:val="18"/>
          <w:szCs w:val="18"/>
          <w:color w:val="0000EE"/>
        </w:rPr>
      </w:pPr>
    </w:p>
    <w:p>
      <w:pPr>
        <w:ind w:right="260"/>
        <w:spacing w:after="0" w:line="255" w:lineRule="auto"/>
        <w:rPr>
          <w:rFonts w:ascii="Times New Roman" w:cs="Times New Roman" w:eastAsia="Times New Roman" w:hAnsi="Times New Roman"/>
          <w:sz w:val="18"/>
          <w:szCs w:val="18"/>
          <w:color w:val="000000"/>
        </w:rPr>
      </w:pPr>
      <w:hyperlink r:id="rId25">
        <w:r>
          <w:rPr>
            <w:rFonts w:ascii="Times New Roman" w:cs="Times New Roman" w:eastAsia="Times New Roman" w:hAnsi="Times New Roman"/>
            <w:sz w:val="18"/>
            <w:szCs w:val="18"/>
            <w:u w:val="single" w:color="auto"/>
            <w:color w:val="0000EE"/>
          </w:rPr>
          <w:t>No. 333-263460</w:t>
        </w:r>
        <w:r>
          <w:rPr>
            <w:rFonts w:ascii="Times New Roman" w:cs="Times New Roman" w:eastAsia="Times New Roman" w:hAnsi="Times New Roman"/>
            <w:sz w:val="18"/>
            <w:szCs w:val="18"/>
            <w:color w:val="000000"/>
          </w:rPr>
          <w:t xml:space="preserve">) and (c) 1,000,000 shares of Common Stock issuable to eligible persons under the Eiger BioPharmaceuticals, Inc. 2021 </w:t>
        </w:r>
      </w:hyperlink>
      <w:r>
        <w:rPr>
          <w:rFonts w:ascii="Times New Roman" w:cs="Times New Roman" w:eastAsia="Times New Roman" w:hAnsi="Times New Roman"/>
          <w:sz w:val="18"/>
          <w:szCs w:val="18"/>
          <w:color w:val="0000EE"/>
        </w:rPr>
        <w:t xml:space="preserve">Inducement </w:t>
      </w:r>
      <w:r>
        <w:rPr>
          <w:rFonts w:ascii="Times New Roman" w:cs="Times New Roman" w:eastAsia="Times New Roman" w:hAnsi="Times New Roman"/>
          <w:sz w:val="18"/>
          <w:szCs w:val="18"/>
          <w:color w:val="000000"/>
        </w:rPr>
        <w:t>Plan (the “Inducement Plan”), which Common Stock is in addition to the shares of Common Stock registered on the Registrant’s Form S-8 filed on August 5, 2021 (</w:t>
      </w:r>
      <w:hyperlink r:id="rId26">
        <w:r>
          <w:rPr>
            <w:rFonts w:ascii="Times New Roman" w:cs="Times New Roman" w:eastAsia="Times New Roman" w:hAnsi="Times New Roman"/>
            <w:sz w:val="18"/>
            <w:szCs w:val="18"/>
            <w:u w:val="single" w:color="auto"/>
            <w:color w:val="0000EE"/>
          </w:rPr>
          <w:t>File No. 333-258509</w:t>
        </w:r>
      </w:hyperlink>
      <w:r>
        <w:rPr>
          <w:rFonts w:ascii="Times New Roman" w:cs="Times New Roman" w:eastAsia="Times New Roman" w:hAnsi="Times New Roman"/>
          <w:sz w:val="18"/>
          <w:szCs w:val="18"/>
          <w:color w:val="000000"/>
        </w:rPr>
        <w:t>) (collectively, the “Prior Registration Statements”).</w:t>
      </w:r>
    </w:p>
    <w:p>
      <w:pPr>
        <w:spacing w:after="0" w:line="186" w:lineRule="exact"/>
        <w:rPr>
          <w:sz w:val="20"/>
          <w:szCs w:val="20"/>
          <w:color w:val="auto"/>
        </w:rPr>
      </w:pPr>
    </w:p>
    <w:p>
      <w:pPr>
        <w:ind w:right="760"/>
        <w:spacing w:after="0" w:line="261" w:lineRule="auto"/>
        <w:rPr>
          <w:sz w:val="20"/>
          <w:szCs w:val="20"/>
          <w:color w:val="auto"/>
        </w:rPr>
      </w:pPr>
      <w:r>
        <w:rPr>
          <w:rFonts w:ascii="Times New Roman" w:cs="Times New Roman" w:eastAsia="Times New Roman" w:hAnsi="Times New Roman"/>
          <w:sz w:val="18"/>
          <w:szCs w:val="18"/>
          <w:color w:val="auto"/>
        </w:rPr>
        <w:t>This Registration Statement relates to securities of the same class as that to which the Prior Registration Statements relate, and is submitted in accordance with General Instruction E to Form S-8 regarding Registration of Additional Securities. Pursuant to General Instruction E</w:t>
      </w:r>
    </w:p>
    <w:p>
      <w:pPr>
        <w:jc w:val="both"/>
        <w:ind w:right="80"/>
        <w:spacing w:after="0" w:line="290" w:lineRule="auto"/>
        <w:rPr>
          <w:sz w:val="20"/>
          <w:szCs w:val="20"/>
          <w:color w:val="auto"/>
        </w:rPr>
      </w:pPr>
      <w:r>
        <w:rPr>
          <w:rFonts w:ascii="Times New Roman" w:cs="Times New Roman" w:eastAsia="Times New Roman" w:hAnsi="Times New Roman"/>
          <w:sz w:val="17"/>
          <w:szCs w:val="17"/>
          <w:color w:val="auto"/>
        </w:rPr>
        <w:t>of Form S-8, the contents of the Prior Registration Statements, to the extent relating to the registration of Common Stock issuable under the 2013 Plan, the 2013 ESPP and the Inducement Plan, are incorporated herein by reference and made part of this Registration Statement, except as amended hereby.</w:t>
      </w:r>
    </w:p>
    <w:p>
      <w:pPr>
        <w:spacing w:after="0" w:line="36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PART II</w:t>
      </w:r>
    </w:p>
    <w:p>
      <w:pPr>
        <w:spacing w:after="0" w:line="225" w:lineRule="exact"/>
        <w:rPr>
          <w:sz w:val="20"/>
          <w:szCs w:val="20"/>
          <w:color w:val="auto"/>
        </w:rPr>
      </w:pPr>
    </w:p>
    <w:p>
      <w:pPr>
        <w:ind w:left="2700"/>
        <w:spacing w:after="0"/>
        <w:rPr>
          <w:sz w:val="20"/>
          <w:szCs w:val="20"/>
          <w:color w:val="auto"/>
        </w:rPr>
      </w:pPr>
      <w:r>
        <w:rPr>
          <w:rFonts w:ascii="Times New Roman" w:cs="Times New Roman" w:eastAsia="Times New Roman" w:hAnsi="Times New Roman"/>
          <w:sz w:val="18"/>
          <w:szCs w:val="18"/>
          <w:b w:val="1"/>
          <w:bCs w:val="1"/>
          <w:color w:val="auto"/>
        </w:rPr>
        <w:t>INFORMATION REQUIRED IN THE REGISTRATION STATEMENT</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 Incorporation of Documents by Reference.</w:t>
      </w:r>
    </w:p>
    <w:p>
      <w:pPr>
        <w:spacing w:after="0" w:line="121" w:lineRule="exact"/>
        <w:rPr>
          <w:sz w:val="20"/>
          <w:szCs w:val="20"/>
          <w:color w:val="auto"/>
        </w:rPr>
      </w:pPr>
    </w:p>
    <w:p>
      <w:pPr>
        <w:ind w:right="280"/>
        <w:spacing w:after="0" w:line="282" w:lineRule="auto"/>
        <w:rPr>
          <w:sz w:val="20"/>
          <w:szCs w:val="20"/>
          <w:color w:val="auto"/>
        </w:rPr>
      </w:pPr>
      <w:r>
        <w:rPr>
          <w:rFonts w:ascii="Times New Roman" w:cs="Times New Roman" w:eastAsia="Times New Roman" w:hAnsi="Times New Roman"/>
          <w:sz w:val="18"/>
          <w:szCs w:val="18"/>
          <w:color w:val="auto"/>
        </w:rPr>
        <w:t>The following documents have been filed by the Registrant with the Securities and Exchange Commission (the “Commission”) and are incorporated herein by reference:</w:t>
      </w:r>
    </w:p>
    <w:p>
      <w:pPr>
        <w:spacing w:after="0" w:line="189" w:lineRule="exact"/>
        <w:rPr>
          <w:sz w:val="20"/>
          <w:szCs w:val="20"/>
          <w:color w:val="auto"/>
        </w:rPr>
      </w:pPr>
    </w:p>
    <w:p>
      <w:pPr>
        <w:ind w:left="960" w:right="320" w:hanging="424"/>
        <w:spacing w:after="0" w:line="282" w:lineRule="auto"/>
        <w:tabs>
          <w:tab w:leader="none" w:pos="9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Registrant’s Annual Report on </w:t>
      </w:r>
      <w:hyperlink r:id="rId27">
        <w:r>
          <w:rPr>
            <w:rFonts w:ascii="Times New Roman" w:cs="Times New Roman" w:eastAsia="Times New Roman" w:hAnsi="Times New Roman"/>
            <w:sz w:val="18"/>
            <w:szCs w:val="18"/>
            <w:u w:val="single" w:color="auto"/>
            <w:color w:val="0000EE"/>
          </w:rPr>
          <w:t>Form 10-K</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for the fiscal year ended December 31, 2022, filed with the Commission on March 17, 2023;</w:t>
      </w:r>
    </w:p>
    <w:p>
      <w:pPr>
        <w:spacing w:after="0" w:line="67" w:lineRule="exact"/>
        <w:rPr>
          <w:rFonts w:ascii="Times New Roman" w:cs="Times New Roman" w:eastAsia="Times New Roman" w:hAnsi="Times New Roman"/>
          <w:sz w:val="18"/>
          <w:szCs w:val="18"/>
          <w:color w:val="auto"/>
        </w:rPr>
      </w:pPr>
    </w:p>
    <w:p>
      <w:pPr>
        <w:ind w:left="960" w:right="20" w:hanging="424"/>
        <w:spacing w:after="0" w:line="282" w:lineRule="auto"/>
        <w:tabs>
          <w:tab w:leader="none" w:pos="9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Registrant’s Current Reports on Form 8-K, filed with the Commission on </w:t>
      </w:r>
      <w:hyperlink r:id="rId28">
        <w:r>
          <w:rPr>
            <w:rFonts w:ascii="Times New Roman" w:cs="Times New Roman" w:eastAsia="Times New Roman" w:hAnsi="Times New Roman"/>
            <w:sz w:val="18"/>
            <w:szCs w:val="18"/>
            <w:u w:val="single" w:color="auto"/>
            <w:color w:val="0000EE"/>
          </w:rPr>
          <w:t>January 9, 2023</w:t>
        </w:r>
      </w:hyperlink>
      <w:r>
        <w:rPr>
          <w:rFonts w:ascii="Times New Roman" w:cs="Times New Roman" w:eastAsia="Times New Roman" w:hAnsi="Times New Roman"/>
          <w:sz w:val="18"/>
          <w:szCs w:val="18"/>
          <w:color w:val="auto"/>
        </w:rPr>
        <w:t xml:space="preserve">, </w:t>
      </w:r>
      <w:hyperlink r:id="rId29">
        <w:r>
          <w:rPr>
            <w:rFonts w:ascii="Times New Roman" w:cs="Times New Roman" w:eastAsia="Times New Roman" w:hAnsi="Times New Roman"/>
            <w:sz w:val="18"/>
            <w:szCs w:val="18"/>
            <w:u w:val="single" w:color="auto"/>
            <w:color w:val="0000EE"/>
          </w:rPr>
          <w:t>January 10, 2023</w:t>
        </w:r>
      </w:hyperlink>
      <w:r>
        <w:rPr>
          <w:rFonts w:ascii="Times New Roman" w:cs="Times New Roman" w:eastAsia="Times New Roman" w:hAnsi="Times New Roman"/>
          <w:sz w:val="18"/>
          <w:szCs w:val="18"/>
          <w:color w:val="auto"/>
        </w:rPr>
        <w:t xml:space="preserve">, and </w:t>
      </w:r>
      <w:hyperlink r:id="rId30">
        <w:r>
          <w:rPr>
            <w:rFonts w:ascii="Times New Roman" w:cs="Times New Roman" w:eastAsia="Times New Roman" w:hAnsi="Times New Roman"/>
            <w:sz w:val="18"/>
            <w:szCs w:val="18"/>
            <w:u w:val="single" w:color="auto"/>
            <w:color w:val="0000EE"/>
          </w:rPr>
          <w:t>February 10, 2023</w:t>
        </w:r>
      </w:hyperlink>
      <w:r>
        <w:rPr>
          <w:rFonts w:ascii="Times New Roman" w:cs="Times New Roman" w:eastAsia="Times New Roman" w:hAnsi="Times New Roman"/>
          <w:sz w:val="18"/>
          <w:szCs w:val="18"/>
          <w:color w:val="auto"/>
        </w:rPr>
        <w:t>; and</w:t>
      </w:r>
    </w:p>
    <w:p>
      <w:pPr>
        <w:spacing w:after="0" w:line="67" w:lineRule="exact"/>
        <w:rPr>
          <w:rFonts w:ascii="Times New Roman" w:cs="Times New Roman" w:eastAsia="Times New Roman" w:hAnsi="Times New Roman"/>
          <w:sz w:val="18"/>
          <w:szCs w:val="18"/>
          <w:color w:val="auto"/>
        </w:rPr>
      </w:pPr>
    </w:p>
    <w:p>
      <w:pPr>
        <w:ind w:left="960" w:right="640" w:hanging="424"/>
        <w:spacing w:after="0" w:line="282" w:lineRule="auto"/>
        <w:tabs>
          <w:tab w:leader="none" w:pos="9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description of the Registrant’s Common Stock contained in the Registrant’s registration statement on </w:t>
      </w:r>
      <w:hyperlink r:id="rId31">
        <w:r>
          <w:rPr>
            <w:rFonts w:ascii="Times New Roman" w:cs="Times New Roman" w:eastAsia="Times New Roman" w:hAnsi="Times New Roman"/>
            <w:sz w:val="18"/>
            <w:szCs w:val="18"/>
            <w:u w:val="single" w:color="auto"/>
            <w:color w:val="0000EE"/>
          </w:rPr>
          <w:t>Form 8-A</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filed with the Commission on November 7, 2013, including any amendments or reports filed for the purpose of updating such description.</w:t>
      </w:r>
    </w:p>
    <w:p>
      <w:pPr>
        <w:spacing w:after="0" w:line="162" w:lineRule="exact"/>
        <w:rPr>
          <w:rFonts w:ascii="Times New Roman" w:cs="Times New Roman" w:eastAsia="Times New Roman" w:hAnsi="Times New Roman"/>
          <w:sz w:val="18"/>
          <w:szCs w:val="18"/>
          <w:color w:val="auto"/>
        </w:rPr>
      </w:pPr>
    </w:p>
    <w:p>
      <w:pPr>
        <w:ind w:right="20"/>
        <w:spacing w:after="0" w:line="258" w:lineRule="auto"/>
        <w:rPr>
          <w:sz w:val="20"/>
          <w:szCs w:val="20"/>
          <w:color w:val="auto"/>
        </w:rPr>
      </w:pPr>
      <w:r>
        <w:rPr>
          <w:rFonts w:ascii="Times New Roman" w:cs="Times New Roman" w:eastAsia="Times New Roman" w:hAnsi="Times New Roman"/>
          <w:sz w:val="18"/>
          <w:szCs w:val="18"/>
          <w:color w:val="auto"/>
        </w:rPr>
        <w:t>All documents subsequently filed by the Registrant pursuant to Sections 13(a), 13(c), 14 and 15(d) of the Securities Exchange Act of 1934, as amended, other than current reports furnished under Item 2.02 or Item 7.01 of Form 8-K and exhibits furnished on such form that relate to such items, prior to the filing of a post-effective amendment to this Registration Statement which indicates that all of the shares of Common Stock offered have been sold or which deregisters all of such shares then remaining unsold, shall be deemed to be incorporated by reference in this Registration Statement and to be a part hereof from the date of the filing of such documents.</w:t>
      </w:r>
    </w:p>
    <w:p>
      <w:pPr>
        <w:sectPr>
          <w:pgSz w:w="11900" w:h="16838" w:orient="portrait"/>
          <w:cols w:equalWidth="0" w:num="1">
            <w:col w:w="10960"/>
          </w:cols>
          <w:pgMar w:left="440" w:top="266" w:right="499" w:bottom="1440" w:gutter="0" w:footer="0" w:header="0"/>
        </w:sectPr>
      </w:pPr>
    </w:p>
    <w:bookmarkStart w:id="2" w:name="page3"/>
    <w:bookmarkEnd w:id="2"/>
    <w:p>
      <w:pPr>
        <w:ind w:left="4" w:right="80"/>
        <w:spacing w:after="0" w:line="261"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For purposes of this Registration Statement, any statement contained in a document incorporated or deemed to be incorporated by reference herein shall be deemed to be modified or superseded to the extent that a statement contained herein or in any other subsequently filed document which also is or is deemed to be incorporated by reference herein modifies or supersedes such statement. Any such statement so modified or superseded shall not be deemed, except as so modified or superseded, to constitute a part of this Registration Statement.</w:t>
      </w:r>
    </w:p>
    <w:p>
      <w:pPr>
        <w:spacing w:after="0" w:line="324"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b w:val="1"/>
          <w:bCs w:val="1"/>
          <w:color w:val="auto"/>
        </w:rPr>
        <w:t>ITEM 8. EXHIBITS</w:t>
      </w:r>
    </w:p>
    <w:p>
      <w:pPr>
        <w:spacing w:after="0" w:line="237" w:lineRule="exact"/>
        <w:rPr>
          <w:sz w:val="20"/>
          <w:szCs w:val="20"/>
          <w:color w:val="auto"/>
        </w:rPr>
      </w:pPr>
    </w:p>
    <w:tbl>
      <w:tblPr>
        <w:tblLayout w:type="fixed"/>
        <w:tblInd w:w="4" w:type="dxa"/>
        <w:tblCellMar>
          <w:top w:w="0" w:type="dxa"/>
          <w:left w:w="0" w:type="dxa"/>
          <w:bottom w:w="0" w:type="dxa"/>
          <w:right w:w="0" w:type="dxa"/>
        </w:tblCellMar>
      </w:tblPr>
      <w:tr>
        <w:trPr>
          <w:trHeight w:val="161"/>
        </w:trPr>
        <w:tc>
          <w:tcPr>
            <w:tcW w:w="500" w:type="dxa"/>
            <w:vAlign w:val="bottom"/>
          </w:tcPr>
          <w:p>
            <w:pPr>
              <w:ind w:left="20"/>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540" w:type="dxa"/>
            <w:vAlign w:val="bottom"/>
          </w:tcPr>
          <w:p>
            <w:pPr>
              <w:spacing w:after="0"/>
              <w:rPr>
                <w:sz w:val="13"/>
                <w:szCs w:val="13"/>
                <w:color w:val="auto"/>
              </w:rPr>
            </w:pPr>
          </w:p>
        </w:tc>
        <w:tc>
          <w:tcPr>
            <w:tcW w:w="2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6060" w:type="dxa"/>
            <w:vAlign w:val="bottom"/>
            <w:gridSpan w:val="17"/>
            <w:vMerge w:val="restart"/>
          </w:tcPr>
          <w:p>
            <w:pPr>
              <w:ind w:left="700"/>
              <w:spacing w:after="0"/>
              <w:rPr>
                <w:sz w:val="20"/>
                <w:szCs w:val="20"/>
                <w:color w:val="auto"/>
              </w:rPr>
            </w:pPr>
            <w:r>
              <w:rPr>
                <w:rFonts w:ascii="Times New Roman" w:cs="Times New Roman" w:eastAsia="Times New Roman" w:hAnsi="Times New Roman"/>
                <w:sz w:val="14"/>
                <w:szCs w:val="14"/>
                <w:b w:val="1"/>
                <w:bCs w:val="1"/>
                <w:color w:val="auto"/>
              </w:rPr>
              <w:t>Description</w:t>
            </w:r>
          </w:p>
        </w:tc>
        <w:tc>
          <w:tcPr>
            <w:tcW w:w="0" w:type="dxa"/>
            <w:vAlign w:val="bottom"/>
          </w:tcPr>
          <w:p>
            <w:pPr>
              <w:spacing w:after="0"/>
              <w:rPr>
                <w:sz w:val="1"/>
                <w:szCs w:val="1"/>
                <w:color w:val="auto"/>
              </w:rPr>
            </w:pPr>
          </w:p>
        </w:tc>
      </w:tr>
      <w:tr>
        <w:trPr>
          <w:trHeight w:val="173"/>
        </w:trPr>
        <w:tc>
          <w:tcPr>
            <w:tcW w:w="5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w w:val="96"/>
              </w:rPr>
              <w:t>Number</w:t>
            </w:r>
          </w:p>
        </w:tc>
        <w:tc>
          <w:tcPr>
            <w:tcW w:w="540" w:type="dxa"/>
            <w:vAlign w:val="bottom"/>
          </w:tcPr>
          <w:p>
            <w:pPr>
              <w:spacing w:after="0"/>
              <w:rPr>
                <w:sz w:val="15"/>
                <w:szCs w:val="15"/>
                <w:color w:val="auto"/>
              </w:rPr>
            </w:pPr>
          </w:p>
        </w:tc>
        <w:tc>
          <w:tcPr>
            <w:tcW w:w="224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6060" w:type="dxa"/>
            <w:vAlign w:val="bottom"/>
            <w:tcBorders>
              <w:bottom w:val="single" w:sz="8" w:color="auto"/>
            </w:tcBorders>
            <w:gridSpan w:val="17"/>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63"/>
        </w:trPr>
        <w:tc>
          <w:tcPr>
            <w:tcW w:w="500" w:type="dxa"/>
            <w:vAlign w:val="bottom"/>
          </w:tcPr>
          <w:p>
            <w:pPr>
              <w:spacing w:after="0"/>
              <w:rPr>
                <w:sz w:val="20"/>
                <w:szCs w:val="20"/>
                <w:color w:val="auto"/>
              </w:rPr>
            </w:pPr>
            <w:r>
              <w:rPr>
                <w:rFonts w:ascii="Times New Roman" w:cs="Times New Roman" w:eastAsia="Times New Roman" w:hAnsi="Times New Roman"/>
                <w:sz w:val="18"/>
                <w:szCs w:val="18"/>
                <w:color w:val="auto"/>
              </w:rPr>
              <w:t>4.1</w:t>
            </w:r>
          </w:p>
        </w:tc>
        <w:tc>
          <w:tcPr>
            <w:tcW w:w="540" w:type="dxa"/>
            <w:vAlign w:val="bottom"/>
          </w:tcPr>
          <w:p>
            <w:pPr>
              <w:spacing w:after="0"/>
              <w:rPr>
                <w:sz w:val="22"/>
                <w:szCs w:val="22"/>
                <w:color w:val="auto"/>
              </w:rPr>
            </w:pPr>
          </w:p>
        </w:tc>
        <w:tc>
          <w:tcPr>
            <w:tcW w:w="9520" w:type="dxa"/>
            <w:vAlign w:val="bottom"/>
            <w:tcBorders>
              <w:bottom w:val="single" w:sz="8" w:color="0000EE"/>
            </w:tcBorders>
            <w:gridSpan w:val="17"/>
          </w:tcPr>
          <w:p>
            <w:pPr>
              <w:spacing w:after="0"/>
              <w:rPr>
                <w:rFonts w:ascii="Times New Roman" w:cs="Times New Roman" w:eastAsia="Times New Roman" w:hAnsi="Times New Roman"/>
                <w:sz w:val="18"/>
                <w:szCs w:val="18"/>
                <w:color w:val="0000EE"/>
                <w:w w:val="99"/>
              </w:rPr>
            </w:pPr>
            <w:hyperlink r:id="rId33">
              <w:r>
                <w:rPr>
                  <w:rFonts w:ascii="Times New Roman" w:cs="Times New Roman" w:eastAsia="Times New Roman" w:hAnsi="Times New Roman"/>
                  <w:sz w:val="18"/>
                  <w:szCs w:val="18"/>
                  <w:color w:val="0000EE"/>
                  <w:w w:val="99"/>
                </w:rPr>
                <w:t>Amended and Restated Certificate of Incorporation of Celladon Corporation (incorporated by reference to Exhibit 3.1 to the Current</w:t>
              </w:r>
            </w:hyperlink>
          </w:p>
        </w:tc>
        <w:tc>
          <w:tcPr>
            <w:tcW w:w="460" w:type="dxa"/>
            <w:vAlign w:val="bottom"/>
            <w:gridSpan w:val="3"/>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5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760" w:type="dxa"/>
            <w:vAlign w:val="bottom"/>
            <w:tcBorders>
              <w:bottom w:val="single" w:sz="8" w:color="0000EE"/>
            </w:tcBorders>
            <w:gridSpan w:val="8"/>
          </w:tcPr>
          <w:p>
            <w:pPr>
              <w:spacing w:after="0" w:line="196" w:lineRule="exact"/>
              <w:rPr>
                <w:rFonts w:ascii="Times New Roman" w:cs="Times New Roman" w:eastAsia="Times New Roman" w:hAnsi="Times New Roman"/>
                <w:sz w:val="18"/>
                <w:szCs w:val="18"/>
                <w:color w:val="0000EE"/>
                <w:w w:val="99"/>
              </w:rPr>
            </w:pPr>
            <w:hyperlink r:id="rId33">
              <w:r>
                <w:rPr>
                  <w:rFonts w:ascii="Times New Roman" w:cs="Times New Roman" w:eastAsia="Times New Roman" w:hAnsi="Times New Roman"/>
                  <w:sz w:val="18"/>
                  <w:szCs w:val="18"/>
                  <w:color w:val="0000EE"/>
                  <w:w w:val="99"/>
                </w:rPr>
                <w:t>Report on Form 8-K (File No. 001-36183), filed with the Commission on February 10, 2014).</w:t>
              </w:r>
            </w:hyperlink>
          </w:p>
        </w:tc>
        <w:tc>
          <w:tcPr>
            <w:tcW w:w="3220" w:type="dxa"/>
            <w:vAlign w:val="bottom"/>
            <w:gridSpan w:val="12"/>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500" w:type="dxa"/>
            <w:vAlign w:val="bottom"/>
          </w:tcPr>
          <w:p>
            <w:pPr>
              <w:spacing w:after="0"/>
              <w:rPr>
                <w:sz w:val="20"/>
                <w:szCs w:val="20"/>
                <w:color w:val="auto"/>
              </w:rPr>
            </w:pPr>
            <w:r>
              <w:rPr>
                <w:rFonts w:ascii="Times New Roman" w:cs="Times New Roman" w:eastAsia="Times New Roman" w:hAnsi="Times New Roman"/>
                <w:sz w:val="18"/>
                <w:szCs w:val="18"/>
                <w:color w:val="auto"/>
              </w:rPr>
              <w:t>4.2</w:t>
            </w:r>
          </w:p>
        </w:tc>
        <w:tc>
          <w:tcPr>
            <w:tcW w:w="540" w:type="dxa"/>
            <w:vAlign w:val="bottom"/>
          </w:tcPr>
          <w:p>
            <w:pPr>
              <w:spacing w:after="0"/>
              <w:rPr>
                <w:sz w:val="24"/>
                <w:szCs w:val="24"/>
                <w:color w:val="auto"/>
              </w:rPr>
            </w:pPr>
          </w:p>
        </w:tc>
        <w:tc>
          <w:tcPr>
            <w:tcW w:w="8620" w:type="dxa"/>
            <w:vAlign w:val="bottom"/>
            <w:tcBorders>
              <w:bottom w:val="single" w:sz="8" w:color="0000EE"/>
            </w:tcBorders>
            <w:gridSpan w:val="15"/>
          </w:tcPr>
          <w:p>
            <w:pPr>
              <w:spacing w:after="0"/>
              <w:rPr>
                <w:rFonts w:ascii="Times New Roman" w:cs="Times New Roman" w:eastAsia="Times New Roman" w:hAnsi="Times New Roman"/>
                <w:sz w:val="18"/>
                <w:szCs w:val="18"/>
                <w:color w:val="0000EE"/>
                <w:w w:val="99"/>
              </w:rPr>
            </w:pPr>
            <w:hyperlink r:id="rId34">
              <w:r>
                <w:rPr>
                  <w:rFonts w:ascii="Times New Roman" w:cs="Times New Roman" w:eastAsia="Times New Roman" w:hAnsi="Times New Roman"/>
                  <w:sz w:val="18"/>
                  <w:szCs w:val="18"/>
                  <w:color w:val="0000EE"/>
                  <w:w w:val="99"/>
                </w:rPr>
                <w:t>Amended and Restated Bylaws of Celladon Corporation (incorporated by reference to Exhibit 3.2 to the Current Report</w:t>
              </w:r>
            </w:hyperlink>
          </w:p>
        </w:tc>
        <w:tc>
          <w:tcPr>
            <w:tcW w:w="1360" w:type="dxa"/>
            <w:vAlign w:val="bottom"/>
            <w:gridSpan w:val="5"/>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5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220" w:type="dxa"/>
            <w:vAlign w:val="bottom"/>
            <w:tcBorders>
              <w:bottom w:val="single" w:sz="8" w:color="0000EE"/>
            </w:tcBorders>
            <w:gridSpan w:val="7"/>
          </w:tcPr>
          <w:p>
            <w:pPr>
              <w:spacing w:after="0" w:line="196" w:lineRule="exact"/>
              <w:rPr>
                <w:rFonts w:ascii="Times New Roman" w:cs="Times New Roman" w:eastAsia="Times New Roman" w:hAnsi="Times New Roman"/>
                <w:sz w:val="18"/>
                <w:szCs w:val="18"/>
                <w:color w:val="0000EE"/>
                <w:w w:val="99"/>
              </w:rPr>
            </w:pPr>
            <w:hyperlink r:id="rId34">
              <w:r>
                <w:rPr>
                  <w:rFonts w:ascii="Times New Roman" w:cs="Times New Roman" w:eastAsia="Times New Roman" w:hAnsi="Times New Roman"/>
                  <w:sz w:val="18"/>
                  <w:szCs w:val="18"/>
                  <w:color w:val="0000EE"/>
                  <w:w w:val="99"/>
                </w:rPr>
                <w:t>on Form 8-K (File No. 001-36183), filed with the Commission on February 10, 2014).</w:t>
              </w:r>
            </w:hyperlink>
          </w:p>
        </w:tc>
        <w:tc>
          <w:tcPr>
            <w:tcW w:w="3760" w:type="dxa"/>
            <w:vAlign w:val="bottom"/>
            <w:gridSpan w:val="13"/>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500" w:type="dxa"/>
            <w:vAlign w:val="bottom"/>
          </w:tcPr>
          <w:p>
            <w:pPr>
              <w:spacing w:after="0"/>
              <w:rPr>
                <w:sz w:val="20"/>
                <w:szCs w:val="20"/>
                <w:color w:val="auto"/>
              </w:rPr>
            </w:pPr>
            <w:r>
              <w:rPr>
                <w:rFonts w:ascii="Times New Roman" w:cs="Times New Roman" w:eastAsia="Times New Roman" w:hAnsi="Times New Roman"/>
                <w:sz w:val="18"/>
                <w:szCs w:val="18"/>
                <w:color w:val="auto"/>
              </w:rPr>
              <w:t>4.3</w:t>
            </w:r>
          </w:p>
        </w:tc>
        <w:tc>
          <w:tcPr>
            <w:tcW w:w="540" w:type="dxa"/>
            <w:vAlign w:val="bottom"/>
          </w:tcPr>
          <w:p>
            <w:pPr>
              <w:spacing w:after="0"/>
              <w:rPr>
                <w:sz w:val="24"/>
                <w:szCs w:val="24"/>
                <w:color w:val="auto"/>
              </w:rPr>
            </w:pPr>
          </w:p>
        </w:tc>
        <w:tc>
          <w:tcPr>
            <w:tcW w:w="9760" w:type="dxa"/>
            <w:vAlign w:val="bottom"/>
            <w:tcBorders>
              <w:bottom w:val="single" w:sz="8" w:color="0000EE"/>
            </w:tcBorders>
            <w:gridSpan w:val="18"/>
          </w:tcPr>
          <w:p>
            <w:pPr>
              <w:spacing w:after="0"/>
              <w:rPr>
                <w:rFonts w:ascii="Times New Roman" w:cs="Times New Roman" w:eastAsia="Times New Roman" w:hAnsi="Times New Roman"/>
                <w:sz w:val="18"/>
                <w:szCs w:val="18"/>
                <w:color w:val="0000EE"/>
                <w:w w:val="99"/>
              </w:rPr>
            </w:pPr>
            <w:hyperlink r:id="rId35">
              <w:r>
                <w:rPr>
                  <w:rFonts w:ascii="Times New Roman" w:cs="Times New Roman" w:eastAsia="Times New Roman" w:hAnsi="Times New Roman"/>
                  <w:sz w:val="18"/>
                  <w:szCs w:val="18"/>
                  <w:color w:val="0000EE"/>
                  <w:w w:val="99"/>
                </w:rPr>
                <w:t>Certificate of Amendment of Amended and Restated Certificate of Incorporation of Celladon Corporation (incorporated by reference to</w:t>
              </w:r>
            </w:hyperlink>
          </w:p>
        </w:tc>
        <w:tc>
          <w:tcPr>
            <w:tcW w:w="2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5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8220" w:type="dxa"/>
            <w:vAlign w:val="bottom"/>
            <w:tcBorders>
              <w:bottom w:val="single" w:sz="8" w:color="0000EE"/>
            </w:tcBorders>
            <w:gridSpan w:val="13"/>
          </w:tcPr>
          <w:p>
            <w:pPr>
              <w:spacing w:after="0" w:line="196" w:lineRule="exact"/>
              <w:rPr>
                <w:rFonts w:ascii="Times New Roman" w:cs="Times New Roman" w:eastAsia="Times New Roman" w:hAnsi="Times New Roman"/>
                <w:sz w:val="18"/>
                <w:szCs w:val="18"/>
                <w:color w:val="0000EE"/>
                <w:w w:val="99"/>
              </w:rPr>
            </w:pPr>
            <w:hyperlink r:id="rId35">
              <w:r>
                <w:rPr>
                  <w:rFonts w:ascii="Times New Roman" w:cs="Times New Roman" w:eastAsia="Times New Roman" w:hAnsi="Times New Roman"/>
                  <w:sz w:val="18"/>
                  <w:szCs w:val="18"/>
                  <w:color w:val="0000EE"/>
                  <w:w w:val="99"/>
                </w:rPr>
                <w:t>Exhibit 3.1 to Current Report on Form 8-K (File No. 001-36183), filed with the Commission on March 23, 2016).</w:t>
              </w:r>
            </w:hyperlink>
          </w:p>
        </w:tc>
        <w:tc>
          <w:tcPr>
            <w:tcW w:w="1760" w:type="dxa"/>
            <w:vAlign w:val="bottom"/>
            <w:gridSpan w:val="7"/>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500" w:type="dxa"/>
            <w:vAlign w:val="bottom"/>
          </w:tcPr>
          <w:p>
            <w:pPr>
              <w:spacing w:after="0"/>
              <w:rPr>
                <w:sz w:val="20"/>
                <w:szCs w:val="20"/>
                <w:color w:val="auto"/>
              </w:rPr>
            </w:pPr>
            <w:r>
              <w:rPr>
                <w:rFonts w:ascii="Times New Roman" w:cs="Times New Roman" w:eastAsia="Times New Roman" w:hAnsi="Times New Roman"/>
                <w:sz w:val="18"/>
                <w:szCs w:val="18"/>
                <w:color w:val="auto"/>
              </w:rPr>
              <w:t>4.4</w:t>
            </w:r>
          </w:p>
        </w:tc>
        <w:tc>
          <w:tcPr>
            <w:tcW w:w="540" w:type="dxa"/>
            <w:vAlign w:val="bottom"/>
          </w:tcPr>
          <w:p>
            <w:pPr>
              <w:spacing w:after="0"/>
              <w:rPr>
                <w:sz w:val="24"/>
                <w:szCs w:val="24"/>
                <w:color w:val="auto"/>
              </w:rPr>
            </w:pPr>
          </w:p>
        </w:tc>
        <w:tc>
          <w:tcPr>
            <w:tcW w:w="9760" w:type="dxa"/>
            <w:vAlign w:val="bottom"/>
            <w:tcBorders>
              <w:bottom w:val="single" w:sz="8" w:color="0000EE"/>
            </w:tcBorders>
            <w:gridSpan w:val="18"/>
          </w:tcPr>
          <w:p>
            <w:pPr>
              <w:spacing w:after="0"/>
              <w:rPr>
                <w:rFonts w:ascii="Times New Roman" w:cs="Times New Roman" w:eastAsia="Times New Roman" w:hAnsi="Times New Roman"/>
                <w:sz w:val="18"/>
                <w:szCs w:val="18"/>
                <w:color w:val="0000EE"/>
                <w:w w:val="99"/>
              </w:rPr>
            </w:pPr>
            <w:hyperlink r:id="rId36">
              <w:r>
                <w:rPr>
                  <w:rFonts w:ascii="Times New Roman" w:cs="Times New Roman" w:eastAsia="Times New Roman" w:hAnsi="Times New Roman"/>
                  <w:sz w:val="18"/>
                  <w:szCs w:val="18"/>
                  <w:color w:val="0000EE"/>
                  <w:w w:val="99"/>
                </w:rPr>
                <w:t>Certificate of Amendment of Amended and Restated Certificate of Incorporation of Celladon Corporation (incorporated by reference to</w:t>
              </w:r>
            </w:hyperlink>
          </w:p>
        </w:tc>
        <w:tc>
          <w:tcPr>
            <w:tcW w:w="2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5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8200" w:type="dxa"/>
            <w:vAlign w:val="bottom"/>
            <w:tcBorders>
              <w:bottom w:val="single" w:sz="8" w:color="0000EE"/>
            </w:tcBorders>
            <w:gridSpan w:val="12"/>
          </w:tcPr>
          <w:p>
            <w:pPr>
              <w:spacing w:after="0" w:line="196" w:lineRule="exact"/>
              <w:rPr>
                <w:rFonts w:ascii="Times New Roman" w:cs="Times New Roman" w:eastAsia="Times New Roman" w:hAnsi="Times New Roman"/>
                <w:sz w:val="18"/>
                <w:szCs w:val="18"/>
                <w:color w:val="0000EE"/>
                <w:w w:val="99"/>
              </w:rPr>
            </w:pPr>
            <w:hyperlink r:id="rId36">
              <w:r>
                <w:rPr>
                  <w:rFonts w:ascii="Times New Roman" w:cs="Times New Roman" w:eastAsia="Times New Roman" w:hAnsi="Times New Roman"/>
                  <w:sz w:val="18"/>
                  <w:szCs w:val="18"/>
                  <w:color w:val="0000EE"/>
                  <w:w w:val="99"/>
                </w:rPr>
                <w:t>Exhibit 3.2 to Current Report on Form 8-K (File No. 001-36183), filed with the Commission on March 23, 2016).</w:t>
              </w:r>
            </w:hyperlink>
          </w:p>
        </w:tc>
        <w:tc>
          <w:tcPr>
            <w:tcW w:w="1780" w:type="dxa"/>
            <w:vAlign w:val="bottom"/>
            <w:gridSpan w:val="8"/>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500" w:type="dxa"/>
            <w:vAlign w:val="bottom"/>
          </w:tcPr>
          <w:p>
            <w:pPr>
              <w:spacing w:after="0"/>
              <w:rPr>
                <w:sz w:val="20"/>
                <w:szCs w:val="20"/>
                <w:color w:val="auto"/>
              </w:rPr>
            </w:pPr>
            <w:r>
              <w:rPr>
                <w:rFonts w:ascii="Times New Roman" w:cs="Times New Roman" w:eastAsia="Times New Roman" w:hAnsi="Times New Roman"/>
                <w:sz w:val="18"/>
                <w:szCs w:val="18"/>
                <w:color w:val="auto"/>
              </w:rPr>
              <w:t>4.5</w:t>
            </w:r>
          </w:p>
        </w:tc>
        <w:tc>
          <w:tcPr>
            <w:tcW w:w="540" w:type="dxa"/>
            <w:vAlign w:val="bottom"/>
          </w:tcPr>
          <w:p>
            <w:pPr>
              <w:spacing w:after="0"/>
              <w:rPr>
                <w:sz w:val="24"/>
                <w:szCs w:val="24"/>
                <w:color w:val="auto"/>
              </w:rPr>
            </w:pPr>
          </w:p>
        </w:tc>
        <w:tc>
          <w:tcPr>
            <w:tcW w:w="7680" w:type="dxa"/>
            <w:vAlign w:val="bottom"/>
            <w:tcBorders>
              <w:bottom w:val="single" w:sz="8" w:color="0000EE"/>
            </w:tcBorders>
            <w:gridSpan w:val="9"/>
          </w:tcPr>
          <w:p>
            <w:pPr>
              <w:spacing w:after="0"/>
              <w:rPr>
                <w:rFonts w:ascii="Times New Roman" w:cs="Times New Roman" w:eastAsia="Times New Roman" w:hAnsi="Times New Roman"/>
                <w:sz w:val="18"/>
                <w:szCs w:val="18"/>
                <w:color w:val="0000EE"/>
                <w:w w:val="99"/>
              </w:rPr>
            </w:pPr>
            <w:hyperlink r:id="rId37">
              <w:r>
                <w:rPr>
                  <w:rFonts w:ascii="Times New Roman" w:cs="Times New Roman" w:eastAsia="Times New Roman" w:hAnsi="Times New Roman"/>
                  <w:sz w:val="18"/>
                  <w:szCs w:val="18"/>
                  <w:color w:val="0000EE"/>
                  <w:w w:val="99"/>
                </w:rPr>
                <w:t>Form of Common Stock Certificate (incorporated by reference to Exhibit 4.1 to the Registration Statement</w:t>
              </w:r>
            </w:hyperlink>
          </w:p>
        </w:tc>
        <w:tc>
          <w:tcPr>
            <w:tcW w:w="2300" w:type="dxa"/>
            <w:vAlign w:val="bottom"/>
            <w:gridSpan w:val="11"/>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5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9980" w:type="dxa"/>
            <w:vAlign w:val="bottom"/>
            <w:gridSpan w:val="20"/>
          </w:tcPr>
          <w:p>
            <w:pPr>
              <w:spacing w:after="0" w:line="196" w:lineRule="exact"/>
              <w:rPr>
                <w:rFonts w:ascii="Times New Roman" w:cs="Times New Roman" w:eastAsia="Times New Roman" w:hAnsi="Times New Roman"/>
                <w:sz w:val="18"/>
                <w:szCs w:val="18"/>
                <w:color w:val="0000EE"/>
              </w:rPr>
            </w:pPr>
            <w:hyperlink r:id="rId37">
              <w:r>
                <w:rPr>
                  <w:rFonts w:ascii="Times New Roman" w:cs="Times New Roman" w:eastAsia="Times New Roman" w:hAnsi="Times New Roman"/>
                  <w:sz w:val="18"/>
                  <w:szCs w:val="18"/>
                  <w:color w:val="0000EE"/>
                </w:rPr>
                <w:t>on Form S-1, as amended (File No. 333-191688), originally filed with the Commission on October 29, 2013).</w:t>
              </w:r>
            </w:hyperlink>
          </w:p>
        </w:tc>
        <w:tc>
          <w:tcPr>
            <w:tcW w:w="0" w:type="dxa"/>
            <w:vAlign w:val="bottom"/>
          </w:tcPr>
          <w:p>
            <w:pPr>
              <w:spacing w:after="0"/>
              <w:rPr>
                <w:sz w:val="1"/>
                <w:szCs w:val="1"/>
                <w:color w:val="auto"/>
              </w:rPr>
            </w:pPr>
          </w:p>
        </w:tc>
      </w:tr>
      <w:tr>
        <w:trPr>
          <w:trHeight w:val="304"/>
        </w:trPr>
        <w:tc>
          <w:tcPr>
            <w:tcW w:w="500" w:type="dxa"/>
            <w:vAlign w:val="bottom"/>
          </w:tcPr>
          <w:p>
            <w:pPr>
              <w:spacing w:after="0"/>
              <w:rPr>
                <w:sz w:val="20"/>
                <w:szCs w:val="20"/>
                <w:color w:val="auto"/>
              </w:rPr>
            </w:pPr>
            <w:r>
              <w:rPr>
                <w:rFonts w:ascii="Times New Roman" w:cs="Times New Roman" w:eastAsia="Times New Roman" w:hAnsi="Times New Roman"/>
                <w:sz w:val="18"/>
                <w:szCs w:val="18"/>
                <w:color w:val="auto"/>
              </w:rPr>
              <w:t>5.1*</w:t>
            </w:r>
          </w:p>
        </w:tc>
        <w:tc>
          <w:tcPr>
            <w:tcW w:w="540" w:type="dxa"/>
            <w:vAlign w:val="bottom"/>
          </w:tcPr>
          <w:p>
            <w:pPr>
              <w:spacing w:after="0"/>
              <w:rPr>
                <w:sz w:val="24"/>
                <w:szCs w:val="24"/>
                <w:color w:val="auto"/>
              </w:rPr>
            </w:pPr>
          </w:p>
        </w:tc>
        <w:tc>
          <w:tcPr>
            <w:tcW w:w="2240" w:type="dxa"/>
            <w:vAlign w:val="bottom"/>
            <w:tcBorders>
              <w:top w:val="single" w:sz="8" w:color="0000EE"/>
              <w:bottom w:val="single" w:sz="8" w:color="0000EE"/>
            </w:tcBorders>
          </w:tcPr>
          <w:p>
            <w:pPr>
              <w:spacing w:after="0"/>
              <w:rPr>
                <w:sz w:val="20"/>
                <w:szCs w:val="20"/>
                <w:color w:val="auto"/>
              </w:rPr>
            </w:pPr>
            <w:r>
              <w:rPr>
                <w:rFonts w:ascii="Times New Roman" w:cs="Times New Roman" w:eastAsia="Times New Roman" w:hAnsi="Times New Roman"/>
                <w:sz w:val="18"/>
                <w:szCs w:val="18"/>
                <w:color w:val="0000EE"/>
                <w:w w:val="98"/>
              </w:rPr>
              <w:t>Opinion of Sidley Austin LLP.</w:t>
            </w:r>
          </w:p>
        </w:tc>
        <w:tc>
          <w:tcPr>
            <w:tcW w:w="5640" w:type="dxa"/>
            <w:vAlign w:val="bottom"/>
            <w:tcBorders>
              <w:top w:val="single" w:sz="8" w:color="0000EE"/>
            </w:tcBorders>
            <w:gridSpan w:val="9"/>
          </w:tcPr>
          <w:p>
            <w:pPr>
              <w:spacing w:after="0"/>
              <w:rPr>
                <w:sz w:val="24"/>
                <w:szCs w:val="24"/>
                <w:color w:val="auto"/>
              </w:rPr>
            </w:pPr>
          </w:p>
        </w:tc>
        <w:tc>
          <w:tcPr>
            <w:tcW w:w="2100" w:type="dxa"/>
            <w:vAlign w:val="bottom"/>
            <w:gridSpan w:val="10"/>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500" w:type="dxa"/>
            <w:vAlign w:val="bottom"/>
          </w:tcPr>
          <w:p>
            <w:pPr>
              <w:spacing w:after="0"/>
              <w:rPr>
                <w:sz w:val="20"/>
                <w:szCs w:val="20"/>
                <w:color w:val="auto"/>
              </w:rPr>
            </w:pPr>
            <w:r>
              <w:rPr>
                <w:rFonts w:ascii="Times New Roman" w:cs="Times New Roman" w:eastAsia="Times New Roman" w:hAnsi="Times New Roman"/>
                <w:sz w:val="18"/>
                <w:szCs w:val="18"/>
                <w:color w:val="auto"/>
              </w:rPr>
              <w:t>23.1*</w:t>
            </w:r>
          </w:p>
        </w:tc>
        <w:tc>
          <w:tcPr>
            <w:tcW w:w="540" w:type="dxa"/>
            <w:vAlign w:val="bottom"/>
          </w:tcPr>
          <w:p>
            <w:pPr>
              <w:spacing w:after="0"/>
              <w:rPr>
                <w:sz w:val="24"/>
                <w:szCs w:val="24"/>
                <w:color w:val="auto"/>
              </w:rPr>
            </w:pPr>
          </w:p>
        </w:tc>
        <w:tc>
          <w:tcPr>
            <w:tcW w:w="9980" w:type="dxa"/>
            <w:vAlign w:val="bottom"/>
            <w:gridSpan w:val="20"/>
          </w:tcPr>
          <w:p>
            <w:pPr>
              <w:spacing w:after="0"/>
              <w:rPr>
                <w:sz w:val="20"/>
                <w:szCs w:val="20"/>
                <w:color w:val="auto"/>
              </w:rPr>
            </w:pPr>
            <w:r>
              <w:rPr>
                <w:rFonts w:ascii="Times New Roman" w:cs="Times New Roman" w:eastAsia="Times New Roman" w:hAnsi="Times New Roman"/>
                <w:sz w:val="18"/>
                <w:szCs w:val="18"/>
                <w:color w:val="auto"/>
              </w:rPr>
              <w:t xml:space="preserve">Consent of Sidley Austin LLP (included in </w:t>
            </w:r>
            <w:r>
              <w:rPr>
                <w:rFonts w:ascii="Times New Roman" w:cs="Times New Roman" w:eastAsia="Times New Roman" w:hAnsi="Times New Roman"/>
                <w:sz w:val="18"/>
                <w:szCs w:val="18"/>
                <w:color w:val="0000EE"/>
              </w:rPr>
              <w:t>Exhibit 5.1</w:t>
            </w: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0"/>
        </w:trPr>
        <w:tc>
          <w:tcPr>
            <w:tcW w:w="5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800" w:type="dxa"/>
            <w:vAlign w:val="bottom"/>
            <w:shd w:val="clear" w:color="auto" w:fill="0000EE"/>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360" w:type="dxa"/>
            <w:vAlign w:val="bottom"/>
            <w:gridSpan w:val="5"/>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1200" w:type="dxa"/>
            <w:vAlign w:val="bottom"/>
            <w:gridSpan w:val="2"/>
          </w:tcPr>
          <w:p>
            <w:pPr>
              <w:spacing w:after="0" w:line="20" w:lineRule="exact"/>
              <w:rPr>
                <w:sz w:val="1"/>
                <w:szCs w:val="1"/>
                <w:color w:val="auto"/>
              </w:rPr>
            </w:pPr>
          </w:p>
        </w:tc>
        <w:tc>
          <w:tcPr>
            <w:tcW w:w="42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500" w:type="dxa"/>
            <w:vAlign w:val="bottom"/>
          </w:tcPr>
          <w:p>
            <w:pPr>
              <w:spacing w:after="0"/>
              <w:rPr>
                <w:sz w:val="20"/>
                <w:szCs w:val="20"/>
                <w:color w:val="auto"/>
              </w:rPr>
            </w:pPr>
            <w:r>
              <w:rPr>
                <w:rFonts w:ascii="Times New Roman" w:cs="Times New Roman" w:eastAsia="Times New Roman" w:hAnsi="Times New Roman"/>
                <w:sz w:val="18"/>
                <w:szCs w:val="18"/>
                <w:color w:val="auto"/>
              </w:rPr>
              <w:t>23.2*</w:t>
            </w:r>
          </w:p>
        </w:tc>
        <w:tc>
          <w:tcPr>
            <w:tcW w:w="540" w:type="dxa"/>
            <w:vAlign w:val="bottom"/>
          </w:tcPr>
          <w:p>
            <w:pPr>
              <w:spacing w:after="0"/>
              <w:rPr>
                <w:sz w:val="24"/>
                <w:szCs w:val="24"/>
                <w:color w:val="auto"/>
              </w:rPr>
            </w:pPr>
          </w:p>
        </w:tc>
        <w:tc>
          <w:tcPr>
            <w:tcW w:w="9980" w:type="dxa"/>
            <w:vAlign w:val="bottom"/>
            <w:gridSpan w:val="20"/>
          </w:tcPr>
          <w:p>
            <w:pPr>
              <w:spacing w:after="0"/>
              <w:rPr>
                <w:sz w:val="20"/>
                <w:szCs w:val="20"/>
                <w:color w:val="auto"/>
              </w:rPr>
            </w:pPr>
            <w:r>
              <w:rPr>
                <w:rFonts w:ascii="Times New Roman" w:cs="Times New Roman" w:eastAsia="Times New Roman" w:hAnsi="Times New Roman"/>
                <w:sz w:val="18"/>
                <w:szCs w:val="18"/>
                <w:color w:val="0000EE"/>
              </w:rPr>
              <w:t>Consent of KPMG LLP, independent registered public accounting firm.</w:t>
            </w:r>
          </w:p>
        </w:tc>
        <w:tc>
          <w:tcPr>
            <w:tcW w:w="0" w:type="dxa"/>
            <w:vAlign w:val="bottom"/>
          </w:tcPr>
          <w:p>
            <w:pPr>
              <w:spacing w:after="0"/>
              <w:rPr>
                <w:sz w:val="1"/>
                <w:szCs w:val="1"/>
                <w:color w:val="auto"/>
              </w:rPr>
            </w:pPr>
          </w:p>
        </w:tc>
      </w:tr>
      <w:tr>
        <w:trPr>
          <w:trHeight w:val="304"/>
        </w:trPr>
        <w:tc>
          <w:tcPr>
            <w:tcW w:w="500" w:type="dxa"/>
            <w:vAlign w:val="bottom"/>
          </w:tcPr>
          <w:p>
            <w:pPr>
              <w:spacing w:after="0"/>
              <w:rPr>
                <w:sz w:val="20"/>
                <w:szCs w:val="20"/>
                <w:color w:val="auto"/>
              </w:rPr>
            </w:pPr>
            <w:r>
              <w:rPr>
                <w:rFonts w:ascii="Times New Roman" w:cs="Times New Roman" w:eastAsia="Times New Roman" w:hAnsi="Times New Roman"/>
                <w:sz w:val="18"/>
                <w:szCs w:val="18"/>
                <w:color w:val="auto"/>
              </w:rPr>
              <w:t>24.1*</w:t>
            </w:r>
          </w:p>
        </w:tc>
        <w:tc>
          <w:tcPr>
            <w:tcW w:w="540" w:type="dxa"/>
            <w:vAlign w:val="bottom"/>
          </w:tcPr>
          <w:p>
            <w:pPr>
              <w:spacing w:after="0"/>
              <w:rPr>
                <w:sz w:val="24"/>
                <w:szCs w:val="24"/>
                <w:color w:val="auto"/>
              </w:rPr>
            </w:pPr>
          </w:p>
        </w:tc>
        <w:tc>
          <w:tcPr>
            <w:tcW w:w="4980" w:type="dxa"/>
            <w:vAlign w:val="bottom"/>
            <w:tcBorders>
              <w:top w:val="single" w:sz="8" w:color="0000EE"/>
              <w:bottom w:val="single" w:sz="8" w:color="0000EE"/>
            </w:tcBorders>
            <w:gridSpan w:val="4"/>
          </w:tcPr>
          <w:p>
            <w:pPr>
              <w:spacing w:after="0"/>
              <w:rPr>
                <w:sz w:val="20"/>
                <w:szCs w:val="20"/>
                <w:color w:val="auto"/>
              </w:rPr>
            </w:pPr>
            <w:r>
              <w:rPr>
                <w:rFonts w:ascii="Times New Roman" w:cs="Times New Roman" w:eastAsia="Times New Roman" w:hAnsi="Times New Roman"/>
                <w:sz w:val="18"/>
                <w:szCs w:val="18"/>
                <w:color w:val="0000EE"/>
                <w:w w:val="99"/>
              </w:rPr>
              <w:t>Power of Attorney (included on the signature page of this Form S-8).</w:t>
            </w:r>
          </w:p>
        </w:tc>
        <w:tc>
          <w:tcPr>
            <w:tcW w:w="160" w:type="dxa"/>
            <w:vAlign w:val="bottom"/>
            <w:tcBorders>
              <w:top w:val="single" w:sz="8" w:color="0000EE"/>
            </w:tcBorders>
          </w:tcPr>
          <w:p>
            <w:pPr>
              <w:spacing w:after="0"/>
              <w:rPr>
                <w:sz w:val="24"/>
                <w:szCs w:val="24"/>
                <w:color w:val="auto"/>
              </w:rPr>
            </w:pPr>
          </w:p>
        </w:tc>
        <w:tc>
          <w:tcPr>
            <w:tcW w:w="4840" w:type="dxa"/>
            <w:vAlign w:val="bottom"/>
            <w:gridSpan w:val="15"/>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500" w:type="dxa"/>
            <w:vAlign w:val="bottom"/>
          </w:tcPr>
          <w:p>
            <w:pPr>
              <w:spacing w:after="0"/>
              <w:rPr>
                <w:sz w:val="20"/>
                <w:szCs w:val="20"/>
                <w:color w:val="auto"/>
              </w:rPr>
            </w:pPr>
            <w:r>
              <w:rPr>
                <w:rFonts w:ascii="Times New Roman" w:cs="Times New Roman" w:eastAsia="Times New Roman" w:hAnsi="Times New Roman"/>
                <w:sz w:val="18"/>
                <w:szCs w:val="18"/>
                <w:color w:val="auto"/>
              </w:rPr>
              <w:t>99.1</w:t>
            </w:r>
          </w:p>
        </w:tc>
        <w:tc>
          <w:tcPr>
            <w:tcW w:w="540" w:type="dxa"/>
            <w:vAlign w:val="bottom"/>
          </w:tcPr>
          <w:p>
            <w:pPr>
              <w:spacing w:after="0"/>
              <w:rPr>
                <w:sz w:val="24"/>
                <w:szCs w:val="24"/>
                <w:color w:val="auto"/>
              </w:rPr>
            </w:pPr>
          </w:p>
        </w:tc>
        <w:tc>
          <w:tcPr>
            <w:tcW w:w="9480" w:type="dxa"/>
            <w:vAlign w:val="bottom"/>
            <w:tcBorders>
              <w:bottom w:val="single" w:sz="8" w:color="0000EE"/>
            </w:tcBorders>
            <w:gridSpan w:val="16"/>
          </w:tcPr>
          <w:p>
            <w:pPr>
              <w:spacing w:after="0"/>
              <w:rPr>
                <w:rFonts w:ascii="Times New Roman" w:cs="Times New Roman" w:eastAsia="Times New Roman" w:hAnsi="Times New Roman"/>
                <w:sz w:val="18"/>
                <w:szCs w:val="18"/>
                <w:color w:val="0000EE"/>
                <w:w w:val="99"/>
              </w:rPr>
            </w:pPr>
            <w:hyperlink r:id="rId38">
              <w:r>
                <w:rPr>
                  <w:rFonts w:ascii="Times New Roman" w:cs="Times New Roman" w:eastAsia="Times New Roman" w:hAnsi="Times New Roman"/>
                  <w:sz w:val="18"/>
                  <w:szCs w:val="18"/>
                  <w:color w:val="0000EE"/>
                  <w:w w:val="99"/>
                </w:rPr>
                <w:t>Eiger BioPharmaceuticals, Inc. Amended and Restated 2013 Equity Incentive Plan (incorporated by reference to Exhibit 10.2 to the</w:t>
              </w:r>
            </w:hyperlink>
          </w:p>
        </w:tc>
        <w:tc>
          <w:tcPr>
            <w:tcW w:w="500" w:type="dxa"/>
            <w:vAlign w:val="bottom"/>
            <w:gridSpan w:val="4"/>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5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8020" w:type="dxa"/>
            <w:vAlign w:val="bottom"/>
            <w:tcBorders>
              <w:bottom w:val="single" w:sz="8" w:color="0000EE"/>
            </w:tcBorders>
            <w:gridSpan w:val="11"/>
          </w:tcPr>
          <w:p>
            <w:pPr>
              <w:spacing w:after="0" w:line="196" w:lineRule="exact"/>
              <w:rPr>
                <w:rFonts w:ascii="Times New Roman" w:cs="Times New Roman" w:eastAsia="Times New Roman" w:hAnsi="Times New Roman"/>
                <w:sz w:val="18"/>
                <w:szCs w:val="18"/>
                <w:color w:val="0000EE"/>
                <w:w w:val="99"/>
              </w:rPr>
            </w:pPr>
            <w:hyperlink r:id="rId38">
              <w:r>
                <w:rPr>
                  <w:rFonts w:ascii="Times New Roman" w:cs="Times New Roman" w:eastAsia="Times New Roman" w:hAnsi="Times New Roman"/>
                  <w:sz w:val="18"/>
                  <w:szCs w:val="18"/>
                  <w:color w:val="0000EE"/>
                  <w:w w:val="99"/>
                </w:rPr>
                <w:t>Registration Statement on Form 10-Q (File No. 001-36183), filed with the Commission on November 8, 2016).</w:t>
              </w:r>
            </w:hyperlink>
          </w:p>
        </w:tc>
        <w:tc>
          <w:tcPr>
            <w:tcW w:w="1960" w:type="dxa"/>
            <w:vAlign w:val="bottom"/>
            <w:gridSpan w:val="9"/>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500" w:type="dxa"/>
            <w:vAlign w:val="bottom"/>
          </w:tcPr>
          <w:p>
            <w:pPr>
              <w:spacing w:after="0"/>
              <w:rPr>
                <w:sz w:val="20"/>
                <w:szCs w:val="20"/>
                <w:color w:val="auto"/>
              </w:rPr>
            </w:pPr>
            <w:r>
              <w:rPr>
                <w:rFonts w:ascii="Times New Roman" w:cs="Times New Roman" w:eastAsia="Times New Roman" w:hAnsi="Times New Roman"/>
                <w:sz w:val="18"/>
                <w:szCs w:val="18"/>
                <w:color w:val="auto"/>
              </w:rPr>
              <w:t>99.2</w:t>
            </w:r>
          </w:p>
        </w:tc>
        <w:tc>
          <w:tcPr>
            <w:tcW w:w="540" w:type="dxa"/>
            <w:vAlign w:val="bottom"/>
          </w:tcPr>
          <w:p>
            <w:pPr>
              <w:spacing w:after="0"/>
              <w:rPr>
                <w:sz w:val="24"/>
                <w:szCs w:val="24"/>
                <w:color w:val="auto"/>
              </w:rPr>
            </w:pPr>
          </w:p>
        </w:tc>
        <w:tc>
          <w:tcPr>
            <w:tcW w:w="9900" w:type="dxa"/>
            <w:vAlign w:val="bottom"/>
            <w:tcBorders>
              <w:bottom w:val="single" w:sz="8" w:color="0000EE"/>
            </w:tcBorders>
            <w:gridSpan w:val="19"/>
          </w:tcPr>
          <w:p>
            <w:pPr>
              <w:spacing w:after="0"/>
              <w:rPr>
                <w:rFonts w:ascii="Times New Roman" w:cs="Times New Roman" w:eastAsia="Times New Roman" w:hAnsi="Times New Roman"/>
                <w:sz w:val="18"/>
                <w:szCs w:val="18"/>
                <w:color w:val="0000EE"/>
                <w:w w:val="99"/>
              </w:rPr>
            </w:pPr>
            <w:hyperlink r:id="rId39">
              <w:r>
                <w:rPr>
                  <w:rFonts w:ascii="Times New Roman" w:cs="Times New Roman" w:eastAsia="Times New Roman" w:hAnsi="Times New Roman"/>
                  <w:sz w:val="18"/>
                  <w:szCs w:val="18"/>
                  <w:color w:val="0000EE"/>
                  <w:w w:val="99"/>
                </w:rPr>
                <w:t>Eiger BioPharmaceuticals, Inc. Amended and Restated 2013 Employee Stock Purchase Plan (incorporated by reference to Exhibit 10.1 to</w:t>
              </w:r>
            </w:hyperlink>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5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9980" w:type="dxa"/>
            <w:vAlign w:val="bottom"/>
            <w:gridSpan w:val="20"/>
          </w:tcPr>
          <w:p>
            <w:pPr>
              <w:spacing w:after="0" w:line="196" w:lineRule="exact"/>
              <w:rPr>
                <w:rFonts w:ascii="Times New Roman" w:cs="Times New Roman" w:eastAsia="Times New Roman" w:hAnsi="Times New Roman"/>
                <w:sz w:val="18"/>
                <w:szCs w:val="18"/>
                <w:color w:val="0000EE"/>
              </w:rPr>
            </w:pPr>
            <w:hyperlink r:id="rId39">
              <w:r>
                <w:rPr>
                  <w:rFonts w:ascii="Times New Roman" w:cs="Times New Roman" w:eastAsia="Times New Roman" w:hAnsi="Times New Roman"/>
                  <w:sz w:val="18"/>
                  <w:szCs w:val="18"/>
                  <w:color w:val="0000EE"/>
                </w:rPr>
                <w:t>the Registration Statement on Form 10-Q (File No. 001-36183), filed with the Commission on November 8, 2016).</w:t>
              </w:r>
            </w:hyperlink>
          </w:p>
        </w:tc>
        <w:tc>
          <w:tcPr>
            <w:tcW w:w="0" w:type="dxa"/>
            <w:vAlign w:val="bottom"/>
          </w:tcPr>
          <w:p>
            <w:pPr>
              <w:spacing w:after="0"/>
              <w:rPr>
                <w:sz w:val="1"/>
                <w:szCs w:val="1"/>
                <w:color w:val="auto"/>
              </w:rPr>
            </w:pPr>
          </w:p>
        </w:tc>
      </w:tr>
      <w:tr>
        <w:trPr>
          <w:trHeight w:val="304"/>
        </w:trPr>
        <w:tc>
          <w:tcPr>
            <w:tcW w:w="500" w:type="dxa"/>
            <w:vAlign w:val="bottom"/>
          </w:tcPr>
          <w:p>
            <w:pPr>
              <w:spacing w:after="0"/>
              <w:rPr>
                <w:sz w:val="20"/>
                <w:szCs w:val="20"/>
                <w:color w:val="auto"/>
              </w:rPr>
            </w:pPr>
            <w:r>
              <w:rPr>
                <w:rFonts w:ascii="Times New Roman" w:cs="Times New Roman" w:eastAsia="Times New Roman" w:hAnsi="Times New Roman"/>
                <w:sz w:val="18"/>
                <w:szCs w:val="18"/>
                <w:color w:val="auto"/>
              </w:rPr>
              <w:t>99.3*</w:t>
            </w:r>
          </w:p>
        </w:tc>
        <w:tc>
          <w:tcPr>
            <w:tcW w:w="540" w:type="dxa"/>
            <w:vAlign w:val="bottom"/>
          </w:tcPr>
          <w:p>
            <w:pPr>
              <w:spacing w:after="0"/>
              <w:rPr>
                <w:sz w:val="24"/>
                <w:szCs w:val="24"/>
                <w:color w:val="auto"/>
              </w:rPr>
            </w:pPr>
          </w:p>
        </w:tc>
        <w:tc>
          <w:tcPr>
            <w:tcW w:w="5660" w:type="dxa"/>
            <w:vAlign w:val="bottom"/>
            <w:tcBorders>
              <w:top w:val="single" w:sz="8" w:color="0000EE"/>
              <w:bottom w:val="single" w:sz="8" w:color="0000EE"/>
            </w:tcBorders>
            <w:gridSpan w:val="6"/>
          </w:tcPr>
          <w:p>
            <w:pPr>
              <w:spacing w:after="0"/>
              <w:rPr>
                <w:sz w:val="20"/>
                <w:szCs w:val="20"/>
                <w:color w:val="auto"/>
              </w:rPr>
            </w:pPr>
            <w:r>
              <w:rPr>
                <w:rFonts w:ascii="Times New Roman" w:cs="Times New Roman" w:eastAsia="Times New Roman" w:hAnsi="Times New Roman"/>
                <w:sz w:val="18"/>
                <w:szCs w:val="18"/>
                <w:color w:val="0000EE"/>
                <w:w w:val="99"/>
              </w:rPr>
              <w:t>Eiger BioPharmaceuticals, Inc. Amended and Restated 2021 Inducement Plan.</w:t>
            </w:r>
          </w:p>
        </w:tc>
        <w:tc>
          <w:tcPr>
            <w:tcW w:w="2620" w:type="dxa"/>
            <w:vAlign w:val="bottom"/>
            <w:tcBorders>
              <w:top w:val="single" w:sz="8" w:color="0000EE"/>
            </w:tcBorders>
            <w:gridSpan w:val="8"/>
          </w:tcPr>
          <w:p>
            <w:pPr>
              <w:spacing w:after="0"/>
              <w:rPr>
                <w:sz w:val="24"/>
                <w:szCs w:val="24"/>
                <w:color w:val="auto"/>
              </w:rPr>
            </w:pPr>
          </w:p>
        </w:tc>
        <w:tc>
          <w:tcPr>
            <w:tcW w:w="1700" w:type="dxa"/>
            <w:vAlign w:val="bottom"/>
            <w:gridSpan w:val="6"/>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500" w:type="dxa"/>
            <w:vAlign w:val="bottom"/>
          </w:tcPr>
          <w:p>
            <w:pPr>
              <w:spacing w:after="0"/>
              <w:rPr>
                <w:sz w:val="20"/>
                <w:szCs w:val="20"/>
                <w:color w:val="auto"/>
              </w:rPr>
            </w:pPr>
            <w:r>
              <w:rPr>
                <w:rFonts w:ascii="Times New Roman" w:cs="Times New Roman" w:eastAsia="Times New Roman" w:hAnsi="Times New Roman"/>
                <w:sz w:val="18"/>
                <w:szCs w:val="18"/>
                <w:color w:val="auto"/>
              </w:rPr>
              <w:t>107*</w:t>
            </w:r>
          </w:p>
        </w:tc>
        <w:tc>
          <w:tcPr>
            <w:tcW w:w="540" w:type="dxa"/>
            <w:vAlign w:val="bottom"/>
          </w:tcPr>
          <w:p>
            <w:pPr>
              <w:spacing w:after="0"/>
              <w:rPr>
                <w:sz w:val="24"/>
                <w:szCs w:val="24"/>
                <w:color w:val="auto"/>
              </w:rPr>
            </w:pPr>
          </w:p>
        </w:tc>
        <w:tc>
          <w:tcPr>
            <w:tcW w:w="9980" w:type="dxa"/>
            <w:vAlign w:val="bottom"/>
            <w:gridSpan w:val="20"/>
          </w:tcPr>
          <w:p>
            <w:pPr>
              <w:spacing w:after="0"/>
              <w:rPr>
                <w:sz w:val="20"/>
                <w:szCs w:val="20"/>
                <w:color w:val="auto"/>
              </w:rPr>
            </w:pPr>
            <w:r>
              <w:rPr>
                <w:rFonts w:ascii="Times New Roman" w:cs="Times New Roman" w:eastAsia="Times New Roman" w:hAnsi="Times New Roman"/>
                <w:sz w:val="18"/>
                <w:szCs w:val="18"/>
                <w:color w:val="0000EE"/>
              </w:rPr>
              <w:t>Calculation of Filing Fee Table</w:t>
            </w:r>
          </w:p>
        </w:tc>
        <w:tc>
          <w:tcPr>
            <w:tcW w:w="0" w:type="dxa"/>
            <w:vAlign w:val="bottom"/>
          </w:tcPr>
          <w:p>
            <w:pPr>
              <w:spacing w:after="0"/>
              <w:rPr>
                <w:sz w:val="1"/>
                <w:szCs w:val="1"/>
                <w:color w:val="auto"/>
              </w:rPr>
            </w:pPr>
          </w:p>
        </w:tc>
      </w:tr>
      <w:tr>
        <w:trPr>
          <w:trHeight w:val="20"/>
        </w:trPr>
        <w:tc>
          <w:tcPr>
            <w:tcW w:w="5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40" w:type="dxa"/>
            <w:vAlign w:val="bottom"/>
            <w:tcBorders>
              <w:right w:val="single" w:sz="8" w:color="0000EE"/>
            </w:tcBorders>
            <w:shd w:val="clear" w:color="auto" w:fill="0000EE"/>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2" w:lineRule="exact"/>
        <w:rPr>
          <w:sz w:val="20"/>
          <w:szCs w:val="20"/>
          <w:color w:val="auto"/>
        </w:rPr>
      </w:pPr>
    </w:p>
    <w:p>
      <w:pPr>
        <w:ind w:left="424" w:hanging="424"/>
        <w:spacing w:after="0"/>
        <w:tabs>
          <w:tab w:leader="none" w:pos="424"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Filed herewith</w:t>
      </w:r>
    </w:p>
    <w:p>
      <w:pPr>
        <w:sectPr>
          <w:pgSz w:w="11900" w:h="16838" w:orient="portrait"/>
          <w:cols w:equalWidth="0" w:num="1">
            <w:col w:w="11024"/>
          </w:cols>
          <w:pgMar w:left="436" w:top="270" w:right="439" w:bottom="1440" w:gutter="0" w:footer="0" w:header="0"/>
        </w:sectPr>
      </w:pPr>
    </w:p>
    <w:bookmarkStart w:id="3" w:name="page4"/>
    <w:bookmarkEnd w:id="3"/>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SIGNATURES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Pursuant to the requirements of the Securities Act, the Registrant certifies that it has reasonable grounds to believe that it meets all of the requirements for filing on Form S-8 and has duly caused this Registration Statement to be signed on its behalf by the undersigned, thereunto duly authorized, in the City of Palo Alto, State of California, on the day of March 17, 2023.</w:t>
      </w:r>
    </w:p>
    <w:p>
      <w:pPr>
        <w:spacing w:after="0" w:line="199"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b w:val="1"/>
          <w:bCs w:val="1"/>
          <w:color w:val="auto"/>
        </w:rPr>
        <w:t>EIGER BIOPHARMACEUTICALS, INC.</w:t>
      </w:r>
    </w:p>
    <w:p>
      <w:pPr>
        <w:spacing w:after="0" w:line="229"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By: /s/ David Apelian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4429125</wp:posOffset>
            </wp:positionH>
            <wp:positionV relativeFrom="paragraph">
              <wp:posOffset>17145</wp:posOffset>
            </wp:positionV>
            <wp:extent cx="256286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6980"/>
        <w:spacing w:after="0"/>
        <w:rPr>
          <w:sz w:val="20"/>
          <w:szCs w:val="20"/>
          <w:color w:val="auto"/>
        </w:rPr>
      </w:pPr>
      <w:r>
        <w:rPr>
          <w:rFonts w:ascii="Times New Roman" w:cs="Times New Roman" w:eastAsia="Times New Roman" w:hAnsi="Times New Roman"/>
          <w:sz w:val="18"/>
          <w:szCs w:val="18"/>
          <w:color w:val="auto"/>
        </w:rPr>
        <w:t>David Apelian</w:t>
      </w:r>
    </w:p>
    <w:p>
      <w:pPr>
        <w:spacing w:after="0" w:line="27" w:lineRule="exact"/>
        <w:rPr>
          <w:sz w:val="20"/>
          <w:szCs w:val="20"/>
          <w:color w:val="auto"/>
        </w:rPr>
      </w:pPr>
    </w:p>
    <w:p>
      <w:pPr>
        <w:ind w:left="6980"/>
        <w:spacing w:after="0"/>
        <w:rPr>
          <w:sz w:val="20"/>
          <w:szCs w:val="20"/>
          <w:color w:val="auto"/>
        </w:rPr>
      </w:pPr>
      <w:r>
        <w:rPr>
          <w:rFonts w:ascii="Times New Roman" w:cs="Times New Roman" w:eastAsia="Times New Roman" w:hAnsi="Times New Roman"/>
          <w:sz w:val="18"/>
          <w:szCs w:val="18"/>
          <w:i w:val="1"/>
          <w:iCs w:val="1"/>
          <w:color w:val="auto"/>
        </w:rPr>
        <w:t>Interim President and Chief Executive Officer</w:t>
      </w:r>
    </w:p>
    <w:p>
      <w:pPr>
        <w:sectPr>
          <w:pgSz w:w="11900" w:h="16838" w:orient="portrait"/>
          <w:cols w:equalWidth="0" w:num="1">
            <w:col w:w="10820"/>
          </w:cols>
          <w:pgMar w:left="440" w:top="266" w:right="639" w:bottom="1440" w:gutter="0" w:footer="0" w:header="0"/>
        </w:sectPr>
      </w:pPr>
    </w:p>
    <w:bookmarkStart w:id="4" w:name="page5"/>
    <w:bookmarkEnd w:id="4"/>
    <w:p>
      <w:pPr>
        <w:jc w:val="center"/>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POWER OF ATTORNEY</w:t>
      </w:r>
    </w:p>
    <w:p>
      <w:pPr>
        <w:spacing w:after="0" w:line="225" w:lineRule="exact"/>
        <w:rPr>
          <w:sz w:val="20"/>
          <w:szCs w:val="20"/>
          <w:color w:val="auto"/>
        </w:rPr>
      </w:pPr>
    </w:p>
    <w:p>
      <w:pPr>
        <w:ind w:right="20"/>
        <w:spacing w:after="0" w:line="254" w:lineRule="auto"/>
        <w:rPr>
          <w:sz w:val="20"/>
          <w:szCs w:val="20"/>
          <w:color w:val="auto"/>
        </w:rPr>
      </w:pPr>
      <w:r>
        <w:rPr>
          <w:rFonts w:ascii="Times New Roman" w:cs="Times New Roman" w:eastAsia="Times New Roman" w:hAnsi="Times New Roman"/>
          <w:sz w:val="18"/>
          <w:szCs w:val="18"/>
          <w:b w:val="1"/>
          <w:bCs w:val="1"/>
          <w:color w:val="auto"/>
        </w:rPr>
        <w:t>KNOW ALL PERSONS BY THESE PRESENTS</w:t>
      </w:r>
      <w:r>
        <w:rPr>
          <w:rFonts w:ascii="Times New Roman" w:cs="Times New Roman" w:eastAsia="Times New Roman" w:hAnsi="Times New Roman"/>
          <w:sz w:val="18"/>
          <w:szCs w:val="18"/>
          <w:color w:val="auto"/>
        </w:rPr>
        <w:t>, that each person whose signature appears below constitutes and appoints David Apelian as his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her true and lawful attorney-in-fact and agent, each with full power of substitution and resubstitution, for him or her and in his or her name, place and stead, in any and all capacities, to sign any and all amendments (including post-effective amendments) to this Registration Statement, and to sign any registration statement for the same offering covered by this Registration Statement that is to be effective upon filing pursuant to Rule 462(b) promulgated under the Securities Act, and all post-effective amendments thereto, and to file the same, with all exhibits thereto, and other documents in connection therewith, with the SEC, granting unto said attorneys-in-fact and agents, and each of them, full power and authority to do and perform each and every act and thing requisite and necessary to be done in connection therewith, as fully to all intents and purposes as he or she might or could do in person, hereby ratifying and confirming all that said attorneys-in-fact and agents, or any of them, or their or his substitutes or substitute, may lawfully do or cause to be done by virtue hereof.</w:t>
      </w:r>
    </w:p>
    <w:p>
      <w:pPr>
        <w:spacing w:after="0" w:line="192" w:lineRule="exact"/>
        <w:rPr>
          <w:sz w:val="20"/>
          <w:szCs w:val="20"/>
          <w:color w:val="auto"/>
        </w:rPr>
      </w:pPr>
    </w:p>
    <w:p>
      <w:pPr>
        <w:ind w:right="40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Act, this Registration Statement has been signed by the following persons in the capacities and on the dates indicated.</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418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Signature</w:t>
            </w:r>
          </w:p>
        </w:tc>
        <w:tc>
          <w:tcPr>
            <w:tcW w:w="120" w:type="dxa"/>
            <w:vAlign w:val="bottom"/>
          </w:tcPr>
          <w:p>
            <w:pPr>
              <w:spacing w:after="0"/>
              <w:rPr>
                <w:sz w:val="16"/>
                <w:szCs w:val="16"/>
                <w:color w:val="auto"/>
              </w:rPr>
            </w:pPr>
          </w:p>
        </w:tc>
        <w:tc>
          <w:tcPr>
            <w:tcW w:w="496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w w:val="99"/>
              </w:rPr>
              <w:t>Title</w:t>
            </w:r>
          </w:p>
        </w:tc>
        <w:tc>
          <w:tcPr>
            <w:tcW w:w="176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Date</w:t>
            </w:r>
          </w:p>
        </w:tc>
      </w:tr>
      <w:tr>
        <w:trPr>
          <w:trHeight w:val="209"/>
        </w:trPr>
        <w:tc>
          <w:tcPr>
            <w:tcW w:w="418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/s/ David Apelian</w:t>
            </w:r>
          </w:p>
        </w:tc>
        <w:tc>
          <w:tcPr>
            <w:tcW w:w="120" w:type="dxa"/>
            <w:vAlign w:val="bottom"/>
          </w:tcPr>
          <w:p>
            <w:pPr>
              <w:spacing w:after="0"/>
              <w:rPr>
                <w:sz w:val="18"/>
                <w:szCs w:val="18"/>
                <w:color w:val="auto"/>
              </w:rPr>
            </w:pPr>
          </w:p>
        </w:tc>
        <w:tc>
          <w:tcPr>
            <w:tcW w:w="484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Interim President, Chief Executive Officer and Director</w:t>
            </w:r>
          </w:p>
        </w:tc>
        <w:tc>
          <w:tcPr>
            <w:tcW w:w="120" w:type="dxa"/>
            <w:vAlign w:val="bottom"/>
          </w:tcPr>
          <w:p>
            <w:pPr>
              <w:spacing w:after="0"/>
              <w:rPr>
                <w:sz w:val="18"/>
                <w:szCs w:val="18"/>
                <w:color w:val="auto"/>
              </w:rPr>
            </w:pPr>
          </w:p>
        </w:tc>
        <w:tc>
          <w:tcPr>
            <w:tcW w:w="1760" w:type="dxa"/>
            <w:vAlign w:val="bottom"/>
            <w:tcBorders>
              <w:top w:val="single" w:sz="8" w:color="auto"/>
            </w:tcBorders>
          </w:tcPr>
          <w:p>
            <w:pPr>
              <w:spacing w:after="0"/>
              <w:rPr>
                <w:sz w:val="18"/>
                <w:szCs w:val="18"/>
                <w:color w:val="auto"/>
              </w:rPr>
            </w:pPr>
          </w:p>
        </w:tc>
      </w:tr>
      <w:tr>
        <w:trPr>
          <w:trHeight w:val="228"/>
        </w:trPr>
        <w:tc>
          <w:tcPr>
            <w:tcW w:w="41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David Apelian</w:t>
            </w:r>
          </w:p>
        </w:tc>
        <w:tc>
          <w:tcPr>
            <w:tcW w:w="120" w:type="dxa"/>
            <w:vAlign w:val="bottom"/>
          </w:tcPr>
          <w:p>
            <w:pPr>
              <w:spacing w:after="0"/>
              <w:rPr>
                <w:sz w:val="19"/>
                <w:szCs w:val="19"/>
                <w:color w:val="auto"/>
              </w:rPr>
            </w:pPr>
          </w:p>
        </w:tc>
        <w:tc>
          <w:tcPr>
            <w:tcW w:w="496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i w:val="1"/>
                <w:iCs w:val="1"/>
                <w:color w:val="auto"/>
                <w:w w:val="99"/>
              </w:rPr>
              <w:t>(Principal Executive Officer)</w:t>
            </w:r>
          </w:p>
        </w:tc>
        <w:tc>
          <w:tcPr>
            <w:tcW w:w="17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March 17, 2023</w:t>
            </w:r>
          </w:p>
        </w:tc>
      </w:tr>
      <w:tr>
        <w:trPr>
          <w:trHeight w:val="427"/>
        </w:trPr>
        <w:tc>
          <w:tcPr>
            <w:tcW w:w="41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/s/ Michelle Maynard</w:t>
            </w:r>
          </w:p>
        </w:tc>
        <w:tc>
          <w:tcPr>
            <w:tcW w:w="120" w:type="dxa"/>
            <w:vAlign w:val="bottom"/>
          </w:tcPr>
          <w:p>
            <w:pPr>
              <w:spacing w:after="0"/>
              <w:rPr>
                <w:sz w:val="24"/>
                <w:szCs w:val="24"/>
                <w:color w:val="auto"/>
              </w:rPr>
            </w:pPr>
          </w:p>
        </w:tc>
        <w:tc>
          <w:tcPr>
            <w:tcW w:w="496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9"/>
              </w:rPr>
              <w:t>Senior Vice President, Finance</w:t>
            </w:r>
          </w:p>
        </w:tc>
        <w:tc>
          <w:tcPr>
            <w:tcW w:w="1760" w:type="dxa"/>
            <w:vAlign w:val="bottom"/>
          </w:tcPr>
          <w:p>
            <w:pPr>
              <w:spacing w:after="0"/>
              <w:rPr>
                <w:sz w:val="24"/>
                <w:szCs w:val="24"/>
                <w:color w:val="auto"/>
              </w:rPr>
            </w:pPr>
          </w:p>
        </w:tc>
      </w:tr>
      <w:tr>
        <w:trPr>
          <w:trHeight w:val="228"/>
        </w:trPr>
        <w:tc>
          <w:tcPr>
            <w:tcW w:w="41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Michelle Maynard</w:t>
            </w:r>
          </w:p>
        </w:tc>
        <w:tc>
          <w:tcPr>
            <w:tcW w:w="120" w:type="dxa"/>
            <w:vAlign w:val="bottom"/>
          </w:tcPr>
          <w:p>
            <w:pPr>
              <w:spacing w:after="0"/>
              <w:rPr>
                <w:sz w:val="19"/>
                <w:szCs w:val="19"/>
                <w:color w:val="auto"/>
              </w:rPr>
            </w:pPr>
          </w:p>
        </w:tc>
        <w:tc>
          <w:tcPr>
            <w:tcW w:w="49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i w:val="1"/>
                <w:iCs w:val="1"/>
                <w:color w:val="auto"/>
              </w:rPr>
              <w:t>(Acting Principal Financial and Accounting Officer)</w:t>
            </w:r>
          </w:p>
        </w:tc>
        <w:tc>
          <w:tcPr>
            <w:tcW w:w="17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March 17, 2023</w:t>
            </w:r>
          </w:p>
        </w:tc>
      </w:tr>
      <w:tr>
        <w:trPr>
          <w:trHeight w:val="427"/>
        </w:trPr>
        <w:tc>
          <w:tcPr>
            <w:tcW w:w="41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/s/ Thomas J. Dietz</w:t>
            </w:r>
          </w:p>
        </w:tc>
        <w:tc>
          <w:tcPr>
            <w:tcW w:w="120" w:type="dxa"/>
            <w:vAlign w:val="bottom"/>
          </w:tcPr>
          <w:p>
            <w:pPr>
              <w:spacing w:after="0"/>
              <w:rPr>
                <w:sz w:val="24"/>
                <w:szCs w:val="24"/>
                <w:color w:val="auto"/>
              </w:rPr>
            </w:pPr>
          </w:p>
        </w:tc>
        <w:tc>
          <w:tcPr>
            <w:tcW w:w="49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9"/>
              </w:rPr>
              <w:t>Chairman of the Board of Directors</w:t>
            </w:r>
          </w:p>
        </w:tc>
        <w:tc>
          <w:tcPr>
            <w:tcW w:w="1760" w:type="dxa"/>
            <w:vAlign w:val="bottom"/>
          </w:tcPr>
          <w:p>
            <w:pPr>
              <w:spacing w:after="0"/>
              <w:rPr>
                <w:sz w:val="24"/>
                <w:szCs w:val="24"/>
                <w:color w:val="auto"/>
              </w:rPr>
            </w:pPr>
          </w:p>
        </w:tc>
      </w:tr>
      <w:tr>
        <w:trPr>
          <w:trHeight w:val="228"/>
        </w:trPr>
        <w:tc>
          <w:tcPr>
            <w:tcW w:w="41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Thomas J. Dietz</w:t>
            </w:r>
          </w:p>
        </w:tc>
        <w:tc>
          <w:tcPr>
            <w:tcW w:w="120" w:type="dxa"/>
            <w:vAlign w:val="bottom"/>
          </w:tcPr>
          <w:p>
            <w:pPr>
              <w:spacing w:after="0"/>
              <w:rPr>
                <w:sz w:val="19"/>
                <w:szCs w:val="19"/>
                <w:color w:val="auto"/>
              </w:rPr>
            </w:pPr>
          </w:p>
        </w:tc>
        <w:tc>
          <w:tcPr>
            <w:tcW w:w="48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March 17, 2023</w:t>
            </w:r>
          </w:p>
        </w:tc>
      </w:tr>
      <w:tr>
        <w:trPr>
          <w:trHeight w:val="427"/>
        </w:trPr>
        <w:tc>
          <w:tcPr>
            <w:tcW w:w="41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/s/ Evan Loh</w:t>
            </w:r>
          </w:p>
        </w:tc>
        <w:tc>
          <w:tcPr>
            <w:tcW w:w="120" w:type="dxa"/>
            <w:vAlign w:val="bottom"/>
          </w:tcPr>
          <w:p>
            <w:pPr>
              <w:spacing w:after="0"/>
              <w:rPr>
                <w:sz w:val="24"/>
                <w:szCs w:val="24"/>
                <w:color w:val="auto"/>
              </w:rPr>
            </w:pPr>
          </w:p>
        </w:tc>
        <w:tc>
          <w:tcPr>
            <w:tcW w:w="496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9"/>
              </w:rPr>
              <w:t>Member of the Board of Directors</w:t>
            </w:r>
          </w:p>
        </w:tc>
        <w:tc>
          <w:tcPr>
            <w:tcW w:w="1760" w:type="dxa"/>
            <w:vAlign w:val="bottom"/>
          </w:tcPr>
          <w:p>
            <w:pPr>
              <w:spacing w:after="0"/>
              <w:rPr>
                <w:sz w:val="24"/>
                <w:szCs w:val="24"/>
                <w:color w:val="auto"/>
              </w:rPr>
            </w:pPr>
          </w:p>
        </w:tc>
      </w:tr>
      <w:tr>
        <w:trPr>
          <w:trHeight w:val="228"/>
        </w:trPr>
        <w:tc>
          <w:tcPr>
            <w:tcW w:w="41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Evan Loh</w:t>
            </w:r>
          </w:p>
        </w:tc>
        <w:tc>
          <w:tcPr>
            <w:tcW w:w="120" w:type="dxa"/>
            <w:vAlign w:val="bottom"/>
          </w:tcPr>
          <w:p>
            <w:pPr>
              <w:spacing w:after="0"/>
              <w:rPr>
                <w:sz w:val="19"/>
                <w:szCs w:val="19"/>
                <w:color w:val="auto"/>
              </w:rPr>
            </w:pPr>
          </w:p>
        </w:tc>
        <w:tc>
          <w:tcPr>
            <w:tcW w:w="48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March 17, 2023</w:t>
            </w:r>
          </w:p>
        </w:tc>
      </w:tr>
      <w:tr>
        <w:trPr>
          <w:trHeight w:val="427"/>
        </w:trPr>
        <w:tc>
          <w:tcPr>
            <w:tcW w:w="41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/s/ Jeffrey S. Glenn</w:t>
            </w:r>
          </w:p>
        </w:tc>
        <w:tc>
          <w:tcPr>
            <w:tcW w:w="120" w:type="dxa"/>
            <w:vAlign w:val="bottom"/>
          </w:tcPr>
          <w:p>
            <w:pPr>
              <w:spacing w:after="0"/>
              <w:rPr>
                <w:sz w:val="24"/>
                <w:szCs w:val="24"/>
                <w:color w:val="auto"/>
              </w:rPr>
            </w:pPr>
          </w:p>
        </w:tc>
        <w:tc>
          <w:tcPr>
            <w:tcW w:w="496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9"/>
              </w:rPr>
              <w:t>Member of the Board of Directors</w:t>
            </w:r>
          </w:p>
        </w:tc>
        <w:tc>
          <w:tcPr>
            <w:tcW w:w="1760" w:type="dxa"/>
            <w:vAlign w:val="bottom"/>
          </w:tcPr>
          <w:p>
            <w:pPr>
              <w:spacing w:after="0"/>
              <w:rPr>
                <w:sz w:val="24"/>
                <w:szCs w:val="24"/>
                <w:color w:val="auto"/>
              </w:rPr>
            </w:pPr>
          </w:p>
        </w:tc>
      </w:tr>
      <w:tr>
        <w:trPr>
          <w:trHeight w:val="228"/>
        </w:trPr>
        <w:tc>
          <w:tcPr>
            <w:tcW w:w="41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Jeffrey S. Glenn</w:t>
            </w:r>
          </w:p>
        </w:tc>
        <w:tc>
          <w:tcPr>
            <w:tcW w:w="120" w:type="dxa"/>
            <w:vAlign w:val="bottom"/>
          </w:tcPr>
          <w:p>
            <w:pPr>
              <w:spacing w:after="0"/>
              <w:rPr>
                <w:sz w:val="19"/>
                <w:szCs w:val="19"/>
                <w:color w:val="auto"/>
              </w:rPr>
            </w:pPr>
          </w:p>
        </w:tc>
        <w:tc>
          <w:tcPr>
            <w:tcW w:w="48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March 17, 2023</w:t>
            </w:r>
          </w:p>
        </w:tc>
      </w:tr>
      <w:tr>
        <w:trPr>
          <w:trHeight w:val="427"/>
        </w:trPr>
        <w:tc>
          <w:tcPr>
            <w:tcW w:w="41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/s/ Lisa Kelly-Croswell</w:t>
            </w:r>
          </w:p>
        </w:tc>
        <w:tc>
          <w:tcPr>
            <w:tcW w:w="120" w:type="dxa"/>
            <w:vAlign w:val="bottom"/>
          </w:tcPr>
          <w:p>
            <w:pPr>
              <w:spacing w:after="0"/>
              <w:rPr>
                <w:sz w:val="24"/>
                <w:szCs w:val="24"/>
                <w:color w:val="auto"/>
              </w:rPr>
            </w:pPr>
          </w:p>
        </w:tc>
        <w:tc>
          <w:tcPr>
            <w:tcW w:w="496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9"/>
              </w:rPr>
              <w:t>Member of the Board of Directors</w:t>
            </w:r>
          </w:p>
        </w:tc>
        <w:tc>
          <w:tcPr>
            <w:tcW w:w="1760" w:type="dxa"/>
            <w:vAlign w:val="bottom"/>
          </w:tcPr>
          <w:p>
            <w:pPr>
              <w:spacing w:after="0"/>
              <w:rPr>
                <w:sz w:val="24"/>
                <w:szCs w:val="24"/>
                <w:color w:val="auto"/>
              </w:rPr>
            </w:pPr>
          </w:p>
        </w:tc>
      </w:tr>
      <w:tr>
        <w:trPr>
          <w:trHeight w:val="228"/>
        </w:trPr>
        <w:tc>
          <w:tcPr>
            <w:tcW w:w="41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Lisa Kelly-Croswell</w:t>
            </w:r>
          </w:p>
        </w:tc>
        <w:tc>
          <w:tcPr>
            <w:tcW w:w="120" w:type="dxa"/>
            <w:vAlign w:val="bottom"/>
          </w:tcPr>
          <w:p>
            <w:pPr>
              <w:spacing w:after="0"/>
              <w:rPr>
                <w:sz w:val="19"/>
                <w:szCs w:val="19"/>
                <w:color w:val="auto"/>
              </w:rPr>
            </w:pPr>
          </w:p>
        </w:tc>
        <w:tc>
          <w:tcPr>
            <w:tcW w:w="48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March 17, 2023</w:t>
            </w:r>
          </w:p>
        </w:tc>
      </w:tr>
      <w:tr>
        <w:trPr>
          <w:trHeight w:val="427"/>
        </w:trPr>
        <w:tc>
          <w:tcPr>
            <w:tcW w:w="41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/s/ Christine Murray</w:t>
            </w:r>
          </w:p>
        </w:tc>
        <w:tc>
          <w:tcPr>
            <w:tcW w:w="120" w:type="dxa"/>
            <w:vAlign w:val="bottom"/>
          </w:tcPr>
          <w:p>
            <w:pPr>
              <w:spacing w:after="0"/>
              <w:rPr>
                <w:sz w:val="24"/>
                <w:szCs w:val="24"/>
                <w:color w:val="auto"/>
              </w:rPr>
            </w:pPr>
          </w:p>
        </w:tc>
        <w:tc>
          <w:tcPr>
            <w:tcW w:w="496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9"/>
              </w:rPr>
              <w:t>Member of the Board of Directors</w:t>
            </w:r>
          </w:p>
        </w:tc>
        <w:tc>
          <w:tcPr>
            <w:tcW w:w="1760" w:type="dxa"/>
            <w:vAlign w:val="bottom"/>
          </w:tcPr>
          <w:p>
            <w:pPr>
              <w:spacing w:after="0"/>
              <w:rPr>
                <w:sz w:val="24"/>
                <w:szCs w:val="24"/>
                <w:color w:val="auto"/>
              </w:rPr>
            </w:pPr>
          </w:p>
        </w:tc>
      </w:tr>
      <w:tr>
        <w:trPr>
          <w:trHeight w:val="228"/>
        </w:trPr>
        <w:tc>
          <w:tcPr>
            <w:tcW w:w="41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Christine Murray</w:t>
            </w:r>
          </w:p>
        </w:tc>
        <w:tc>
          <w:tcPr>
            <w:tcW w:w="120" w:type="dxa"/>
            <w:vAlign w:val="bottom"/>
          </w:tcPr>
          <w:p>
            <w:pPr>
              <w:spacing w:after="0"/>
              <w:rPr>
                <w:sz w:val="19"/>
                <w:szCs w:val="19"/>
                <w:color w:val="auto"/>
              </w:rPr>
            </w:pPr>
          </w:p>
        </w:tc>
        <w:tc>
          <w:tcPr>
            <w:tcW w:w="48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March 17, 2023</w:t>
            </w:r>
          </w:p>
        </w:tc>
      </w:tr>
      <w:tr>
        <w:trPr>
          <w:trHeight w:val="427"/>
        </w:trPr>
        <w:tc>
          <w:tcPr>
            <w:tcW w:w="41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/s/ Amit Sachdev</w:t>
            </w:r>
          </w:p>
        </w:tc>
        <w:tc>
          <w:tcPr>
            <w:tcW w:w="120" w:type="dxa"/>
            <w:vAlign w:val="bottom"/>
          </w:tcPr>
          <w:p>
            <w:pPr>
              <w:spacing w:after="0"/>
              <w:rPr>
                <w:sz w:val="24"/>
                <w:szCs w:val="24"/>
                <w:color w:val="auto"/>
              </w:rPr>
            </w:pPr>
          </w:p>
        </w:tc>
        <w:tc>
          <w:tcPr>
            <w:tcW w:w="496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9"/>
              </w:rPr>
              <w:t>Member of the Board of Directors</w:t>
            </w:r>
          </w:p>
        </w:tc>
        <w:tc>
          <w:tcPr>
            <w:tcW w:w="1760" w:type="dxa"/>
            <w:vAlign w:val="bottom"/>
          </w:tcPr>
          <w:p>
            <w:pPr>
              <w:spacing w:after="0"/>
              <w:rPr>
                <w:sz w:val="24"/>
                <w:szCs w:val="24"/>
                <w:color w:val="auto"/>
              </w:rPr>
            </w:pPr>
          </w:p>
        </w:tc>
      </w:tr>
      <w:tr>
        <w:trPr>
          <w:trHeight w:val="228"/>
        </w:trPr>
        <w:tc>
          <w:tcPr>
            <w:tcW w:w="41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Amit Sachdev</w:t>
            </w:r>
          </w:p>
        </w:tc>
        <w:tc>
          <w:tcPr>
            <w:tcW w:w="120" w:type="dxa"/>
            <w:vAlign w:val="bottom"/>
          </w:tcPr>
          <w:p>
            <w:pPr>
              <w:spacing w:after="0"/>
              <w:rPr>
                <w:sz w:val="19"/>
                <w:szCs w:val="19"/>
                <w:color w:val="auto"/>
              </w:rPr>
            </w:pPr>
          </w:p>
        </w:tc>
        <w:tc>
          <w:tcPr>
            <w:tcW w:w="48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March 17, 2023</w:t>
            </w:r>
          </w:p>
        </w:tc>
      </w:tr>
      <w:tr>
        <w:trPr>
          <w:trHeight w:val="427"/>
        </w:trPr>
        <w:tc>
          <w:tcPr>
            <w:tcW w:w="41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/s/ Kim Sablich</w:t>
            </w:r>
          </w:p>
        </w:tc>
        <w:tc>
          <w:tcPr>
            <w:tcW w:w="120" w:type="dxa"/>
            <w:vAlign w:val="bottom"/>
          </w:tcPr>
          <w:p>
            <w:pPr>
              <w:spacing w:after="0"/>
              <w:rPr>
                <w:sz w:val="24"/>
                <w:szCs w:val="24"/>
                <w:color w:val="auto"/>
              </w:rPr>
            </w:pPr>
          </w:p>
        </w:tc>
        <w:tc>
          <w:tcPr>
            <w:tcW w:w="496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9"/>
              </w:rPr>
              <w:t>Member of the Board of Directors</w:t>
            </w:r>
          </w:p>
        </w:tc>
        <w:tc>
          <w:tcPr>
            <w:tcW w:w="1760" w:type="dxa"/>
            <w:vAlign w:val="bottom"/>
          </w:tcPr>
          <w:p>
            <w:pPr>
              <w:spacing w:after="0"/>
              <w:rPr>
                <w:sz w:val="24"/>
                <w:szCs w:val="24"/>
                <w:color w:val="auto"/>
              </w:rPr>
            </w:pPr>
          </w:p>
        </w:tc>
      </w:tr>
      <w:tr>
        <w:trPr>
          <w:trHeight w:val="228"/>
        </w:trPr>
        <w:tc>
          <w:tcPr>
            <w:tcW w:w="41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Kim Sablich</w:t>
            </w:r>
          </w:p>
        </w:tc>
        <w:tc>
          <w:tcPr>
            <w:tcW w:w="120" w:type="dxa"/>
            <w:vAlign w:val="bottom"/>
          </w:tcPr>
          <w:p>
            <w:pPr>
              <w:spacing w:after="0"/>
              <w:rPr>
                <w:sz w:val="19"/>
                <w:szCs w:val="19"/>
                <w:color w:val="auto"/>
              </w:rPr>
            </w:pPr>
          </w:p>
        </w:tc>
        <w:tc>
          <w:tcPr>
            <w:tcW w:w="48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March 17, 2023</w:t>
            </w:r>
          </w:p>
        </w:tc>
      </w:tr>
    </w:tbl>
    <w:p>
      <w:pPr>
        <w:sectPr>
          <w:pgSz w:w="11900" w:h="16838" w:orient="portrait"/>
          <w:cols w:equalWidth="0" w:num="1">
            <w:col w:w="11020"/>
          </w:cols>
          <w:pgMar w:left="440" w:top="266" w:right="439" w:bottom="1440" w:gutter="0" w:footer="0" w:header="0"/>
        </w:sectPr>
      </w:pPr>
    </w:p>
    <w:bookmarkStart w:id="5" w:name="page6"/>
    <w:bookmarkEnd w:id="5"/>
    <w:p>
      <w:pPr>
        <w:jc w:val="right"/>
        <w:spacing w:after="0"/>
        <w:rPr>
          <w:sz w:val="20"/>
          <w:szCs w:val="20"/>
          <w:color w:val="auto"/>
        </w:rPr>
      </w:pPr>
      <w:r>
        <w:rPr>
          <w:rFonts w:ascii="Times New Roman" w:cs="Times New Roman" w:eastAsia="Times New Roman" w:hAnsi="Times New Roman"/>
          <w:sz w:val="18"/>
          <w:szCs w:val="18"/>
          <w:b w:val="1"/>
          <w:bCs w:val="1"/>
          <w:color w:val="auto"/>
        </w:rPr>
        <w:t>Exhibit 5.1</w:t>
      </w:r>
    </w:p>
    <w:p>
      <w:pPr>
        <w:spacing w:after="0" w:line="256" w:lineRule="exact"/>
        <w:rPr>
          <w:sz w:val="20"/>
          <w:szCs w:val="20"/>
          <w:color w:val="auto"/>
        </w:rPr>
      </w:pPr>
    </w:p>
    <w:p>
      <w:pPr>
        <w:ind w:left="2220"/>
        <w:spacing w:after="0"/>
        <w:rPr>
          <w:sz w:val="20"/>
          <w:szCs w:val="20"/>
          <w:color w:val="auto"/>
        </w:rPr>
      </w:pPr>
      <w:r>
        <w:rPr>
          <w:rFonts w:ascii="Times New Roman" w:cs="Times New Roman" w:eastAsia="Times New Roman" w:hAnsi="Times New Roman"/>
          <w:sz w:val="18"/>
          <w:szCs w:val="18"/>
          <w:color w:val="auto"/>
        </w:rPr>
        <w:t>SIDLEY AUSTIN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-119380</wp:posOffset>
            </wp:positionV>
            <wp:extent cx="1071245" cy="3511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extLst>
                        <a:ext uri="{28A0092B-C50C-407E-A947-70E740481C1C}"/>
                      </a:extLst>
                    </a:blip>
                    <a:srcRect/>
                    <a:stretch>
                      <a:fillRect/>
                    </a:stretch>
                  </pic:blipFill>
                  <pic:spPr bwMode="auto">
                    <a:xfrm>
                      <a:off x="0" y="0"/>
                      <a:ext cx="1071245" cy="351155"/>
                    </a:xfrm>
                    <a:prstGeom prst="rect">
                      <a:avLst/>
                    </a:prstGeom>
                    <a:noFill/>
                  </pic:spPr>
                </pic:pic>
              </a:graphicData>
            </a:graphic>
          </wp:anchor>
        </w:drawing>
      </w:r>
    </w:p>
    <w:p>
      <w:pPr>
        <w:spacing w:after="0" w:line="7" w:lineRule="exact"/>
        <w:rPr>
          <w:sz w:val="20"/>
          <w:szCs w:val="20"/>
          <w:color w:val="auto"/>
        </w:rPr>
      </w:pPr>
    </w:p>
    <w:p>
      <w:pPr>
        <w:ind w:left="2220"/>
        <w:spacing w:after="0"/>
        <w:rPr>
          <w:sz w:val="20"/>
          <w:szCs w:val="20"/>
          <w:color w:val="auto"/>
        </w:rPr>
      </w:pPr>
      <w:r>
        <w:rPr>
          <w:rFonts w:ascii="Times New Roman" w:cs="Times New Roman" w:eastAsia="Times New Roman" w:hAnsi="Times New Roman"/>
          <w:sz w:val="18"/>
          <w:szCs w:val="18"/>
          <w:color w:val="auto"/>
        </w:rPr>
        <w:t>555 CALIFORNIA STREET</w:t>
      </w:r>
    </w:p>
    <w:p>
      <w:pPr>
        <w:spacing w:after="0" w:line="9" w:lineRule="exact"/>
        <w:rPr>
          <w:sz w:val="20"/>
          <w:szCs w:val="20"/>
          <w:color w:val="auto"/>
        </w:rPr>
      </w:pPr>
    </w:p>
    <w:p>
      <w:pPr>
        <w:ind w:left="2220"/>
        <w:spacing w:after="0"/>
        <w:rPr>
          <w:sz w:val="20"/>
          <w:szCs w:val="20"/>
          <w:color w:val="auto"/>
        </w:rPr>
      </w:pPr>
      <w:r>
        <w:rPr>
          <w:rFonts w:ascii="Times New Roman" w:cs="Times New Roman" w:eastAsia="Times New Roman" w:hAnsi="Times New Roman"/>
          <w:sz w:val="18"/>
          <w:szCs w:val="18"/>
          <w:color w:val="auto"/>
        </w:rPr>
        <w:t>SUITE 2000</w:t>
      </w:r>
    </w:p>
    <w:p>
      <w:pPr>
        <w:spacing w:after="0" w:line="9" w:lineRule="exact"/>
        <w:rPr>
          <w:sz w:val="20"/>
          <w:szCs w:val="20"/>
          <w:color w:val="auto"/>
        </w:rPr>
      </w:pPr>
    </w:p>
    <w:p>
      <w:pPr>
        <w:ind w:left="2220"/>
        <w:spacing w:after="0"/>
        <w:rPr>
          <w:sz w:val="20"/>
          <w:szCs w:val="20"/>
          <w:color w:val="auto"/>
        </w:rPr>
      </w:pPr>
      <w:r>
        <w:rPr>
          <w:rFonts w:ascii="Times New Roman" w:cs="Times New Roman" w:eastAsia="Times New Roman" w:hAnsi="Times New Roman"/>
          <w:sz w:val="18"/>
          <w:szCs w:val="18"/>
          <w:color w:val="auto"/>
        </w:rPr>
        <w:t>SAN FRANCISCO, CA 94104</w:t>
      </w:r>
    </w:p>
    <w:p>
      <w:pPr>
        <w:spacing w:after="0" w:line="9" w:lineRule="exact"/>
        <w:rPr>
          <w:sz w:val="20"/>
          <w:szCs w:val="20"/>
          <w:color w:val="auto"/>
        </w:rPr>
      </w:pPr>
    </w:p>
    <w:p>
      <w:pPr>
        <w:ind w:left="2220"/>
        <w:spacing w:after="0"/>
        <w:rPr>
          <w:sz w:val="20"/>
          <w:szCs w:val="20"/>
          <w:color w:val="auto"/>
        </w:rPr>
      </w:pPr>
      <w:r>
        <w:rPr>
          <w:rFonts w:ascii="Times New Roman" w:cs="Times New Roman" w:eastAsia="Times New Roman" w:hAnsi="Times New Roman"/>
          <w:sz w:val="18"/>
          <w:szCs w:val="18"/>
          <w:color w:val="auto"/>
        </w:rPr>
        <w:t>+1 415 772 1200</w:t>
      </w:r>
    </w:p>
    <w:p>
      <w:pPr>
        <w:spacing w:after="0" w:line="9" w:lineRule="exact"/>
        <w:rPr>
          <w:sz w:val="20"/>
          <w:szCs w:val="20"/>
          <w:color w:val="auto"/>
        </w:rPr>
      </w:pPr>
    </w:p>
    <w:p>
      <w:pPr>
        <w:ind w:left="2220"/>
        <w:spacing w:after="0"/>
        <w:rPr>
          <w:sz w:val="20"/>
          <w:szCs w:val="20"/>
          <w:color w:val="auto"/>
        </w:rPr>
      </w:pPr>
      <w:r>
        <w:rPr>
          <w:rFonts w:ascii="Times New Roman" w:cs="Times New Roman" w:eastAsia="Times New Roman" w:hAnsi="Times New Roman"/>
          <w:sz w:val="18"/>
          <w:szCs w:val="18"/>
          <w:color w:val="auto"/>
        </w:rPr>
        <w:t>+1 415 772 7400 FAX</w:t>
      </w:r>
    </w:p>
    <w:p>
      <w:pPr>
        <w:spacing w:after="0" w:line="234" w:lineRule="exact"/>
        <w:rPr>
          <w:sz w:val="20"/>
          <w:szCs w:val="20"/>
          <w:color w:val="auto"/>
        </w:rPr>
      </w:pPr>
    </w:p>
    <w:p>
      <w:pPr>
        <w:ind w:left="2220"/>
        <w:spacing w:after="0"/>
        <w:rPr>
          <w:sz w:val="20"/>
          <w:szCs w:val="20"/>
          <w:color w:val="auto"/>
        </w:rPr>
      </w:pPr>
      <w:r>
        <w:rPr>
          <w:rFonts w:ascii="Times New Roman" w:cs="Times New Roman" w:eastAsia="Times New Roman" w:hAnsi="Times New Roman"/>
          <w:sz w:val="18"/>
          <w:szCs w:val="18"/>
          <w:color w:val="auto"/>
        </w:rPr>
        <w:t>AMERICA • ASIA PACIFIC • EUROPE</w:t>
      </w:r>
    </w:p>
    <w:p>
      <w:pPr>
        <w:spacing w:after="0" w:line="2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March 17, 2023</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Eiger BioPharmaceuticals,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2155 Park Boulevard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Palo Alto, California 94306</w:t>
      </w:r>
    </w:p>
    <w:p>
      <w:pPr>
        <w:spacing w:after="0" w:line="112" w:lineRule="exact"/>
        <w:rPr>
          <w:sz w:val="20"/>
          <w:szCs w:val="20"/>
          <w:color w:val="auto"/>
        </w:rPr>
      </w:pPr>
    </w:p>
    <w:p>
      <w:pPr>
        <w:ind w:left="980"/>
        <w:spacing w:after="0"/>
        <w:tabs>
          <w:tab w:leader="none" w:pos="1400" w:val="left"/>
        </w:tabs>
        <w:rPr>
          <w:sz w:val="20"/>
          <w:szCs w:val="20"/>
          <w:color w:val="auto"/>
        </w:rPr>
      </w:pPr>
      <w:r>
        <w:rPr>
          <w:rFonts w:ascii="Times New Roman" w:cs="Times New Roman" w:eastAsia="Times New Roman" w:hAnsi="Times New Roman"/>
          <w:sz w:val="18"/>
          <w:szCs w:val="18"/>
          <w:color w:val="auto"/>
        </w:rPr>
        <w:t>Re:</w:t>
      </w:r>
      <w:r>
        <w:rPr>
          <w:sz w:val="20"/>
          <w:szCs w:val="20"/>
          <w:color w:val="auto"/>
        </w:rPr>
        <w:tab/>
      </w:r>
      <w:r>
        <w:rPr>
          <w:rFonts w:ascii="Times New Roman" w:cs="Times New Roman" w:eastAsia="Times New Roman" w:hAnsi="Times New Roman"/>
          <w:sz w:val="17"/>
          <w:szCs w:val="17"/>
          <w:u w:val="single" w:color="auto"/>
          <w:color w:val="auto"/>
        </w:rPr>
        <w:t>3,368,714 Shares of Common Stock, $0.001 par value per share (“Common Stock”)</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Ladies and Gentlemen:</w:t>
      </w:r>
    </w:p>
    <w:p>
      <w:pPr>
        <w:spacing w:after="0" w:line="225" w:lineRule="exact"/>
        <w:rPr>
          <w:sz w:val="20"/>
          <w:szCs w:val="20"/>
          <w:color w:val="auto"/>
        </w:rPr>
      </w:pPr>
    </w:p>
    <w:p>
      <w:pPr>
        <w:ind w:right="100" w:firstLine="991"/>
        <w:spacing w:after="0" w:line="254" w:lineRule="auto"/>
        <w:rPr>
          <w:sz w:val="20"/>
          <w:szCs w:val="20"/>
          <w:color w:val="auto"/>
        </w:rPr>
      </w:pPr>
      <w:r>
        <w:rPr>
          <w:rFonts w:ascii="Times New Roman" w:cs="Times New Roman" w:eastAsia="Times New Roman" w:hAnsi="Times New Roman"/>
          <w:sz w:val="18"/>
          <w:szCs w:val="18"/>
          <w:color w:val="auto"/>
        </w:rPr>
        <w:t>We refer to the Registration Statement on Form S-8 (the “</w:t>
      </w:r>
      <w:r>
        <w:rPr>
          <w:rFonts w:ascii="Times New Roman" w:cs="Times New Roman" w:eastAsia="Times New Roman" w:hAnsi="Times New Roman"/>
          <w:sz w:val="18"/>
          <w:szCs w:val="18"/>
          <w:u w:val="single" w:color="auto"/>
          <w:color w:val="auto"/>
        </w:rPr>
        <w:t>Registration Statement</w:t>
      </w:r>
      <w:r>
        <w:rPr>
          <w:rFonts w:ascii="Times New Roman" w:cs="Times New Roman" w:eastAsia="Times New Roman" w:hAnsi="Times New Roman"/>
          <w:sz w:val="18"/>
          <w:szCs w:val="18"/>
          <w:color w:val="auto"/>
        </w:rPr>
        <w:t>”) being filed by Eiger BioPharmaceuticals, Inc., a Delaware corporation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with the Securities and Exchange Commission under the Securities Act of 1933, as amended (the “</w:t>
      </w:r>
      <w:r>
        <w:rPr>
          <w:rFonts w:ascii="Times New Roman" w:cs="Times New Roman" w:eastAsia="Times New Roman" w:hAnsi="Times New Roman"/>
          <w:sz w:val="18"/>
          <w:szCs w:val="18"/>
          <w:u w:val="single" w:color="auto"/>
          <w:color w:val="auto"/>
        </w:rPr>
        <w:t>Securities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Act</w:t>
      </w:r>
      <w:r>
        <w:rPr>
          <w:rFonts w:ascii="Times New Roman" w:cs="Times New Roman" w:eastAsia="Times New Roman" w:hAnsi="Times New Roman"/>
          <w:sz w:val="18"/>
          <w:szCs w:val="18"/>
          <w:color w:val="auto"/>
        </w:rPr>
        <w:t>”), relating to the registration of (i) 2,203,714 shares of Common Stock, which may be issued under the Eiger BioPharmaceuticals, Inc. Amended and Restated 2013 Equity Incentive Plan (the “</w:t>
      </w:r>
      <w:r>
        <w:rPr>
          <w:rFonts w:ascii="Times New Roman" w:cs="Times New Roman" w:eastAsia="Times New Roman" w:hAnsi="Times New Roman"/>
          <w:sz w:val="18"/>
          <w:szCs w:val="18"/>
          <w:u w:val="single" w:color="auto"/>
          <w:color w:val="auto"/>
        </w:rPr>
        <w:t>2013 Plan</w:t>
      </w:r>
      <w:r>
        <w:rPr>
          <w:rFonts w:ascii="Times New Roman" w:cs="Times New Roman" w:eastAsia="Times New Roman" w:hAnsi="Times New Roman"/>
          <w:sz w:val="18"/>
          <w:szCs w:val="18"/>
          <w:color w:val="auto"/>
        </w:rPr>
        <w:t>”), (ii) 165,000 shares of Common Stock which may be issued under the Eiger BioPharmaceuticals, Inc. Amended and Restated 2013 Employee Stock Purchase Plan (the “</w:t>
      </w:r>
      <w:r>
        <w:rPr>
          <w:rFonts w:ascii="Times New Roman" w:cs="Times New Roman" w:eastAsia="Times New Roman" w:hAnsi="Times New Roman"/>
          <w:sz w:val="18"/>
          <w:szCs w:val="18"/>
          <w:u w:val="single" w:color="auto"/>
          <w:color w:val="auto"/>
        </w:rPr>
        <w:t>2013 ESPP</w:t>
      </w:r>
      <w:r>
        <w:rPr>
          <w:rFonts w:ascii="Times New Roman" w:cs="Times New Roman" w:eastAsia="Times New Roman" w:hAnsi="Times New Roman"/>
          <w:sz w:val="18"/>
          <w:szCs w:val="18"/>
          <w:color w:val="auto"/>
        </w:rPr>
        <w:t>”), and (iii) 1,000,000 shares of Common Stock which may be issued under the Eiger BioPharmaceuticals, Inc. 2021 Inducement Plan (the “</w:t>
      </w:r>
      <w:r>
        <w:rPr>
          <w:rFonts w:ascii="Times New Roman" w:cs="Times New Roman" w:eastAsia="Times New Roman" w:hAnsi="Times New Roman"/>
          <w:sz w:val="18"/>
          <w:szCs w:val="18"/>
          <w:u w:val="single" w:color="auto"/>
          <w:color w:val="auto"/>
        </w:rPr>
        <w:t>Inducement Plan</w:t>
      </w:r>
      <w:r>
        <w:rPr>
          <w:rFonts w:ascii="Times New Roman" w:cs="Times New Roman" w:eastAsia="Times New Roman" w:hAnsi="Times New Roman"/>
          <w:sz w:val="18"/>
          <w:szCs w:val="18"/>
          <w:color w:val="auto"/>
        </w:rPr>
        <w:t>”) (the 2013 Plan, the 2013 ESPP, and the Inducement Plan collectively, the “</w:t>
      </w:r>
      <w:r>
        <w:rPr>
          <w:rFonts w:ascii="Times New Roman" w:cs="Times New Roman" w:eastAsia="Times New Roman" w:hAnsi="Times New Roman"/>
          <w:sz w:val="18"/>
          <w:szCs w:val="18"/>
          <w:u w:val="single" w:color="auto"/>
          <w:color w:val="auto"/>
        </w:rPr>
        <w:t>Plans</w:t>
      </w:r>
      <w:r>
        <w:rPr>
          <w:rFonts w:ascii="Times New Roman" w:cs="Times New Roman" w:eastAsia="Times New Roman" w:hAnsi="Times New Roman"/>
          <w:sz w:val="18"/>
          <w:szCs w:val="18"/>
          <w:color w:val="auto"/>
        </w:rPr>
        <w:t>” and the aggregate shares of Common Stock to be registered under the Registration Statement, the “</w:t>
      </w:r>
      <w:r>
        <w:rPr>
          <w:rFonts w:ascii="Times New Roman" w:cs="Times New Roman" w:eastAsia="Times New Roman" w:hAnsi="Times New Roman"/>
          <w:sz w:val="18"/>
          <w:szCs w:val="18"/>
          <w:u w:val="single" w:color="auto"/>
          <w:color w:val="auto"/>
        </w:rPr>
        <w:t>Registered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Shares</w:t>
      </w:r>
      <w:r>
        <w:rPr>
          <w:rFonts w:ascii="Times New Roman" w:cs="Times New Roman" w:eastAsia="Times New Roman" w:hAnsi="Times New Roman"/>
          <w:sz w:val="18"/>
          <w:szCs w:val="18"/>
          <w:color w:val="auto"/>
        </w:rPr>
        <w:t>”).</w:t>
      </w:r>
    </w:p>
    <w:p>
      <w:pPr>
        <w:spacing w:after="0" w:line="19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This opinion letter is being delivered in accordance with the requirements of Item 601(b)(5) of Regulation S-K under the Securities Act.</w:t>
      </w:r>
    </w:p>
    <w:p>
      <w:pPr>
        <w:spacing w:after="0" w:line="225" w:lineRule="exact"/>
        <w:rPr>
          <w:sz w:val="20"/>
          <w:szCs w:val="20"/>
          <w:color w:val="auto"/>
        </w:rPr>
      </w:pPr>
    </w:p>
    <w:p>
      <w:pPr>
        <w:ind w:right="80" w:firstLine="991"/>
        <w:spacing w:after="0" w:line="254" w:lineRule="auto"/>
        <w:rPr>
          <w:sz w:val="20"/>
          <w:szCs w:val="20"/>
          <w:color w:val="auto"/>
        </w:rPr>
      </w:pPr>
      <w:r>
        <w:rPr>
          <w:rFonts w:ascii="Times New Roman" w:cs="Times New Roman" w:eastAsia="Times New Roman" w:hAnsi="Times New Roman"/>
          <w:sz w:val="18"/>
          <w:szCs w:val="18"/>
          <w:color w:val="auto"/>
        </w:rPr>
        <w:t>We have examined the Registration Statement, the Company’s Amended and Restated Certificate of Incorporation, as amended, the Company’s Amended and Restated Bylaws, the Plans, the resolutions adopted by the board of directors of the Company relating to the Registration Statement and the Plans and the resolutions adopted by the stockholders of the Company relating to the 2013 Plan and 2013 ESPP. We have also examined originals, or copies of originals certified to our satisfaction, of such agreements, documents, certificates and statements of the Company and other corporate documents and instruments, and have examined such questions of law, as we have considered relevant and necessary as a basis for this opinion letter. We have assumed the authenticity of all documents submitted to us as originals, the genuineness of all signatures, the legal capacity of all persons and the conformity with the original documents of any copies thereof submitted to us for examination. As to facts relevant to the opinions expressed herein, we have relied without independent investigation or verification upon, and assumed the accuracy and completeness of, certificates, letters and oral and written statements and representations of public officials and officers and other representatives of the Company.</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color w:val="auto"/>
        </w:rPr>
        <w:t>Sidley Austin (CA) LLP is a Delaware limited liability partnership doing business as Sidley Austin LLP and practicing in affiliation with other Sidley Austin partnerships.</w:t>
      </w:r>
    </w:p>
    <w:p>
      <w:pPr>
        <w:sectPr>
          <w:pgSz w:w="11900" w:h="16838" w:orient="portrait"/>
          <w:cols w:equalWidth="0" w:num="1">
            <w:col w:w="11020"/>
          </w:cols>
          <w:pgMar w:left="440" w:top="117" w:right="439" w:bottom="1440" w:gutter="0" w:footer="0" w:header="0"/>
        </w:sectPr>
      </w:pPr>
    </w:p>
    <w:bookmarkStart w:id="6" w:name="page7"/>
    <w:bookmarkEnd w:id="6"/>
    <w:p>
      <w:pPr>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a:extLst>
                        <a:ext uri="{28A0092B-C50C-407E-A947-70E740481C1C}"/>
                      </a:extLst>
                    </a:blip>
                    <a:srcRect/>
                    <a:stretch>
                      <a:fillRect/>
                    </a:stretch>
                  </pic:blipFill>
                  <pic:spPr bwMode="auto">
                    <a:xfrm>
                      <a:off x="0" y="0"/>
                      <a:ext cx="7174865" cy="38100"/>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182880</wp:posOffset>
            </wp:positionV>
            <wp:extent cx="1071245" cy="3511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clrChange>
                        <a:clrFrom>
                          <a:srgbClr val="FFFFFF"/>
                        </a:clrFrom>
                        <a:clrTo>
                          <a:srgbClr val="FFFFFF">
                            <a:alpha val="0"/>
                          </a:srgbClr>
                        </a:clrTo>
                      </a:clrChange>
                      <a:extLst>
                        <a:ext uri="{28A0092B-C50C-407E-A947-70E740481C1C}"/>
                      </a:extLst>
                    </a:blip>
                    <a:srcRect/>
                    <a:stretch>
                      <a:fillRect/>
                    </a:stretch>
                  </pic:blipFill>
                  <pic:spPr bwMode="auto">
                    <a:xfrm>
                      <a:off x="0" y="0"/>
                      <a:ext cx="1071245" cy="351155"/>
                    </a:xfrm>
                    <a:prstGeom prst="rect">
                      <a:avLst/>
                    </a:prstGeom>
                    <a:noFill/>
                  </pic:spPr>
                </pic:pic>
              </a:graphicData>
            </a:graphic>
          </wp:anchor>
        </w:drawing>
        <w:t>Page 2</w:t>
      </w:r>
    </w:p>
    <w:p>
      <w:pPr>
        <w:spacing w:after="0" w:line="158" w:lineRule="exact"/>
        <w:rPr>
          <w:sz w:val="20"/>
          <w:szCs w:val="20"/>
          <w:color w:val="auto"/>
        </w:rPr>
      </w:pPr>
    </w:p>
    <w:p>
      <w:pPr>
        <w:ind w:firstLine="991"/>
        <w:spacing w:after="0" w:line="255" w:lineRule="auto"/>
        <w:rPr>
          <w:sz w:val="20"/>
          <w:szCs w:val="20"/>
          <w:color w:val="auto"/>
        </w:rPr>
      </w:pPr>
      <w:r>
        <w:rPr>
          <w:rFonts w:ascii="Times New Roman" w:cs="Times New Roman" w:eastAsia="Times New Roman" w:hAnsi="Times New Roman"/>
          <w:sz w:val="18"/>
          <w:szCs w:val="18"/>
          <w:color w:val="auto"/>
        </w:rPr>
        <w:t>Based on the foregoing, we are of the opinion that each Registered Share that is newly issued pursuant to each Plan will be validly issued, fully paid and non-assessable when: (i) the Registration Statement, as finally amended, shall have become effective under the Securities Act; (ii) such Registered Shares shall have been duly issued and delivered in accordance with the applicable Plan; and (iii) certificates representing such Registered Shares shall have been duly executed, countersigned and registered and duly delivered to the person entitled thereto against payment of the agreed consideration therefor in an amount not less than the par value thereof or, if any Registered Share is to be issued in uncertificated form, the Company’s books shall reflect the issuance of such Registered Share to the person entitled thereto against payment of the agreed consideration therefor in an amount not less than the par value thereof, all in accordance with the applicable Plan.</w:t>
      </w:r>
    </w:p>
    <w:p>
      <w:pPr>
        <w:spacing w:after="0" w:line="189" w:lineRule="exact"/>
        <w:rPr>
          <w:sz w:val="20"/>
          <w:szCs w:val="20"/>
          <w:color w:val="auto"/>
        </w:rPr>
      </w:pPr>
    </w:p>
    <w:p>
      <w:pPr>
        <w:ind w:right="280" w:firstLine="991"/>
        <w:spacing w:after="0" w:line="266" w:lineRule="auto"/>
        <w:rPr>
          <w:sz w:val="20"/>
          <w:szCs w:val="20"/>
          <w:color w:val="auto"/>
        </w:rPr>
      </w:pPr>
      <w:r>
        <w:rPr>
          <w:rFonts w:ascii="Times New Roman" w:cs="Times New Roman" w:eastAsia="Times New Roman" w:hAnsi="Times New Roman"/>
          <w:sz w:val="18"/>
          <w:szCs w:val="18"/>
          <w:color w:val="auto"/>
        </w:rPr>
        <w:t>This opinion letter is limited to the General Corporation Law of the State of Delaware. We express no opinion as to the laws, rules or regulations of any other jurisdiction, including, without limitation, the federal laws of the United States of America or any state securities or blue sky laws.</w:t>
      </w:r>
    </w:p>
    <w:p>
      <w:pPr>
        <w:spacing w:after="0" w:line="176" w:lineRule="exact"/>
        <w:rPr>
          <w:sz w:val="20"/>
          <w:szCs w:val="20"/>
          <w:color w:val="auto"/>
        </w:rPr>
      </w:pPr>
    </w:p>
    <w:p>
      <w:pPr>
        <w:jc w:val="both"/>
        <w:ind w:right="80" w:firstLine="991"/>
        <w:spacing w:after="0" w:line="266" w:lineRule="auto"/>
        <w:rPr>
          <w:sz w:val="20"/>
          <w:szCs w:val="20"/>
          <w:color w:val="auto"/>
        </w:rPr>
      </w:pPr>
      <w:r>
        <w:rPr>
          <w:rFonts w:ascii="Times New Roman" w:cs="Times New Roman" w:eastAsia="Times New Roman" w:hAnsi="Times New Roman"/>
          <w:sz w:val="18"/>
          <w:szCs w:val="18"/>
          <w:color w:val="auto"/>
        </w:rPr>
        <w:t>We hereby consent to the filing of this opinion letter as an Exhibit to the Registration Statement and to all references to our Firm included in or made a part of the Registration Statement. In giving such consent, we do not thereby admit that we are in the category of persons whose consent is required under Section 7 of the Securities Act</w:t>
      </w:r>
      <w:r>
        <w:rPr>
          <w:rFonts w:ascii="Times New Roman" w:cs="Times New Roman" w:eastAsia="Times New Roman" w:hAnsi="Times New Roman"/>
          <w:sz w:val="18"/>
          <w:szCs w:val="18"/>
          <w:b w:val="1"/>
          <w:bCs w:val="1"/>
          <w:color w:val="auto"/>
        </w:rPr>
        <w:t>.</w:t>
      </w:r>
    </w:p>
    <w:p>
      <w:pPr>
        <w:spacing w:after="0" w:line="203"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Very truly yours,</w:t>
      </w:r>
    </w:p>
    <w:p>
      <w:pPr>
        <w:spacing w:after="0" w:line="225"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/s/ Sidley Austin LLP</w:t>
      </w:r>
    </w:p>
    <w:p>
      <w:pPr>
        <w:sectPr>
          <w:pgSz w:w="11900" w:h="16838" w:orient="portrait"/>
          <w:cols w:equalWidth="0" w:num="1">
            <w:col w:w="11000"/>
          </w:cols>
          <w:pgMar w:left="440" w:top="1039" w:right="459" w:bottom="1440" w:gutter="0" w:footer="0" w:header="0"/>
        </w:sectPr>
      </w:pPr>
    </w:p>
    <w:bookmarkStart w:id="7" w:name="page8"/>
    <w:bookmarkEnd w:id="7"/>
    <w:p>
      <w:pPr>
        <w:jc w:val="right"/>
        <w:spacing w:after="0"/>
        <w:rPr>
          <w:sz w:val="20"/>
          <w:szCs w:val="20"/>
          <w:color w:val="auto"/>
        </w:rPr>
      </w:pPr>
      <w:r>
        <w:rPr>
          <w:rFonts w:ascii="Times New Roman" w:cs="Times New Roman" w:eastAsia="Times New Roman" w:hAnsi="Times New Roman"/>
          <w:sz w:val="18"/>
          <w:szCs w:val="18"/>
          <w:b w:val="1"/>
          <w:bCs w:val="1"/>
          <w:color w:val="auto"/>
        </w:rPr>
        <w:t>Exhibit 23.2</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Consent of Independent Registered Public Accounting Firm</w:t>
      </w:r>
    </w:p>
    <w:p>
      <w:pPr>
        <w:spacing w:after="0" w:line="229" w:lineRule="exact"/>
        <w:rPr>
          <w:sz w:val="20"/>
          <w:szCs w:val="20"/>
          <w:color w:val="auto"/>
        </w:rPr>
      </w:pPr>
    </w:p>
    <w:p>
      <w:pPr>
        <w:ind w:right="520"/>
        <w:spacing w:after="0" w:line="282" w:lineRule="auto"/>
        <w:rPr>
          <w:sz w:val="20"/>
          <w:szCs w:val="20"/>
          <w:color w:val="auto"/>
        </w:rPr>
      </w:pPr>
      <w:r>
        <w:rPr>
          <w:rFonts w:ascii="Times New Roman" w:cs="Times New Roman" w:eastAsia="Times New Roman" w:hAnsi="Times New Roman"/>
          <w:sz w:val="18"/>
          <w:szCs w:val="18"/>
          <w:color w:val="auto"/>
        </w:rPr>
        <w:t>We consent to the use of our report dated March 16, 2023, with respect to the consolidated financial statements of Eiger BioPharmaceuticals, Inc., incorporated herein by reference.</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 KPMG LLP</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San Francisco, California</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March 16, 2023</w:t>
      </w:r>
    </w:p>
    <w:p>
      <w:pPr>
        <w:sectPr>
          <w:pgSz w:w="11900" w:h="16838" w:orient="portrait"/>
          <w:cols w:equalWidth="0" w:num="1">
            <w:col w:w="11020"/>
          </w:cols>
          <w:pgMar w:left="440" w:top="117" w:right="439" w:bottom="1440" w:gutter="0" w:footer="0" w:header="0"/>
        </w:sectPr>
      </w:pPr>
    </w:p>
    <w:bookmarkStart w:id="8" w:name="page9"/>
    <w:bookmarkEnd w:id="8"/>
    <w:p>
      <w:pPr>
        <w:jc w:val="right"/>
        <w:spacing w:after="0"/>
        <w:rPr>
          <w:sz w:val="20"/>
          <w:szCs w:val="20"/>
          <w:color w:val="auto"/>
        </w:rPr>
      </w:pPr>
      <w:r>
        <w:rPr>
          <w:rFonts w:ascii="Times New Roman" w:cs="Times New Roman" w:eastAsia="Times New Roman" w:hAnsi="Times New Roman"/>
          <w:sz w:val="18"/>
          <w:szCs w:val="18"/>
          <w:b w:val="1"/>
          <w:bCs w:val="1"/>
          <w:color w:val="auto"/>
        </w:rPr>
        <w:t>Exhibit 99.3</w:t>
      </w:r>
    </w:p>
    <w:p>
      <w:pPr>
        <w:spacing w:after="0" w:line="225"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b w:val="1"/>
          <w:bCs w:val="1"/>
          <w:color w:val="auto"/>
        </w:rPr>
        <w:t>EIGER BIOPHARMACEUTICALS, INC.</w:t>
      </w:r>
    </w:p>
    <w:p>
      <w:pPr>
        <w:spacing w:after="0" w:line="117"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b w:val="1"/>
          <w:bCs w:val="1"/>
          <w:color w:val="auto"/>
        </w:rPr>
        <w:t>AMENDED AND RESTATED 2021 INDUCEMENT PLAN</w:t>
      </w:r>
    </w:p>
    <w:p>
      <w:pPr>
        <w:spacing w:after="0" w:line="121"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color w:val="auto"/>
        </w:rPr>
        <w:t>Approved by the Board of Directors: June 15, 2021</w:t>
      </w:r>
    </w:p>
    <w:p>
      <w:pPr>
        <w:spacing w:after="0" w:line="117"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color w:val="auto"/>
        </w:rPr>
        <w:t>Amended by the Board of Directors: February 24, 2023</w:t>
      </w:r>
    </w:p>
    <w:p>
      <w:pPr>
        <w:spacing w:after="0" w:line="248" w:lineRule="exact"/>
        <w:rPr>
          <w:sz w:val="20"/>
          <w:szCs w:val="20"/>
          <w:color w:val="auto"/>
        </w:rPr>
      </w:pPr>
    </w:p>
    <w:p>
      <w:pPr>
        <w:ind w:left="424" w:hanging="424"/>
        <w:spacing w:after="0"/>
        <w:tabs>
          <w:tab w:leader="none" w:pos="424"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PURPOSE OF PLAN</w:t>
      </w:r>
    </w:p>
    <w:p>
      <w:pPr>
        <w:spacing w:after="0" w:line="117" w:lineRule="exact"/>
        <w:rPr>
          <w:sz w:val="20"/>
          <w:szCs w:val="20"/>
          <w:color w:val="auto"/>
        </w:rPr>
      </w:pPr>
    </w:p>
    <w:p>
      <w:pPr>
        <w:ind w:left="4" w:right="240" w:firstLine="440"/>
        <w:spacing w:after="0" w:line="268" w:lineRule="auto"/>
        <w:rPr>
          <w:sz w:val="20"/>
          <w:szCs w:val="20"/>
          <w:color w:val="auto"/>
        </w:rPr>
      </w:pPr>
      <w:r>
        <w:rPr>
          <w:rFonts w:ascii="Times New Roman" w:cs="Times New Roman" w:eastAsia="Times New Roman" w:hAnsi="Times New Roman"/>
          <w:sz w:val="18"/>
          <w:szCs w:val="18"/>
          <w:color w:val="auto"/>
        </w:rPr>
        <w:t>The purpose of this Eiger BioPharmaceuticals, Inc. 2021 Inducement Plan (this “</w:t>
      </w:r>
      <w:r>
        <w:rPr>
          <w:rFonts w:ascii="Times New Roman" w:cs="Times New Roman" w:eastAsia="Times New Roman" w:hAnsi="Times New Roman"/>
          <w:sz w:val="18"/>
          <w:szCs w:val="18"/>
          <w:b w:val="1"/>
          <w:bCs w:val="1"/>
          <w:i w:val="1"/>
          <w:iCs w:val="1"/>
          <w:color w:val="auto"/>
        </w:rPr>
        <w:t>Plan</w:t>
      </w:r>
      <w:r>
        <w:rPr>
          <w:rFonts w:ascii="Times New Roman" w:cs="Times New Roman" w:eastAsia="Times New Roman" w:hAnsi="Times New Roman"/>
          <w:sz w:val="18"/>
          <w:szCs w:val="18"/>
          <w:color w:val="auto"/>
        </w:rPr>
        <w:t>”) of Eiger BioPharmaceuticals, Inc., a Delaware corporation (the “</w:t>
      </w:r>
      <w:r>
        <w:rPr>
          <w:rFonts w:ascii="Times New Roman" w:cs="Times New Roman" w:eastAsia="Times New Roman" w:hAnsi="Times New Roman"/>
          <w:sz w:val="18"/>
          <w:szCs w:val="18"/>
          <w:b w:val="1"/>
          <w:bCs w:val="1"/>
          <w:i w:val="1"/>
          <w:iCs w:val="1"/>
          <w:color w:val="auto"/>
        </w:rPr>
        <w:t>Company</w:t>
      </w:r>
      <w:r>
        <w:rPr>
          <w:rFonts w:ascii="Times New Roman" w:cs="Times New Roman" w:eastAsia="Times New Roman" w:hAnsi="Times New Roman"/>
          <w:sz w:val="18"/>
          <w:szCs w:val="18"/>
          <w:color w:val="auto"/>
        </w:rPr>
        <w:t>”), is to advance the interests of the Company by providing a material inducement for the best available individuals to join the Company and its Subsidiaries as employees by affording such individuals an opportunity to acquire a proprietary interest in the Company.</w:t>
      </w:r>
    </w:p>
    <w:p>
      <w:pPr>
        <w:spacing w:after="0" w:line="319" w:lineRule="exact"/>
        <w:rPr>
          <w:sz w:val="20"/>
          <w:szCs w:val="20"/>
          <w:color w:val="auto"/>
        </w:rPr>
      </w:pPr>
    </w:p>
    <w:p>
      <w:pPr>
        <w:ind w:left="424" w:hanging="424"/>
        <w:spacing w:after="0"/>
        <w:tabs>
          <w:tab w:leader="none" w:pos="424"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ELIGIBILITY</w:t>
      </w:r>
    </w:p>
    <w:p>
      <w:pPr>
        <w:spacing w:after="0" w:line="121" w:lineRule="exact"/>
        <w:rPr>
          <w:sz w:val="20"/>
          <w:szCs w:val="20"/>
          <w:color w:val="auto"/>
        </w:rPr>
      </w:pPr>
    </w:p>
    <w:p>
      <w:pPr>
        <w:ind w:left="4" w:right="20" w:firstLine="440"/>
        <w:spacing w:after="0" w:line="266" w:lineRule="auto"/>
        <w:rPr>
          <w:sz w:val="20"/>
          <w:szCs w:val="20"/>
          <w:color w:val="auto"/>
        </w:rPr>
      </w:pPr>
      <w:r>
        <w:rPr>
          <w:rFonts w:ascii="Times New Roman" w:cs="Times New Roman" w:eastAsia="Times New Roman" w:hAnsi="Times New Roman"/>
          <w:sz w:val="18"/>
          <w:szCs w:val="18"/>
          <w:color w:val="auto"/>
        </w:rPr>
        <w:t>The Plan will be reserved solely for awards to persons whom the Company may issue shares of common stock, par value $0.001 per share, of the Company (“</w:t>
      </w:r>
      <w:r>
        <w:rPr>
          <w:rFonts w:ascii="Times New Roman" w:cs="Times New Roman" w:eastAsia="Times New Roman" w:hAnsi="Times New Roman"/>
          <w:sz w:val="18"/>
          <w:szCs w:val="18"/>
          <w:b w:val="1"/>
          <w:bCs w:val="1"/>
          <w:i w:val="1"/>
          <w:iCs w:val="1"/>
          <w:color w:val="auto"/>
        </w:rPr>
        <w:t>Common Stock</w:t>
      </w:r>
      <w:r>
        <w:rPr>
          <w:rFonts w:ascii="Times New Roman" w:cs="Times New Roman" w:eastAsia="Times New Roman" w:hAnsi="Times New Roman"/>
          <w:sz w:val="18"/>
          <w:szCs w:val="18"/>
          <w:color w:val="auto"/>
        </w:rPr>
        <w:t>”) without stockholder approval pursuant to Rule 5635(c)(4) of the NASDAQ Listing Rules, or any successor rule relating to inducement awards.</w:t>
      </w:r>
    </w:p>
    <w:p>
      <w:pPr>
        <w:spacing w:after="0" w:line="320" w:lineRule="exact"/>
        <w:rPr>
          <w:sz w:val="20"/>
          <w:szCs w:val="20"/>
          <w:color w:val="auto"/>
        </w:rPr>
      </w:pPr>
    </w:p>
    <w:p>
      <w:pPr>
        <w:ind w:left="424" w:hanging="424"/>
        <w:spacing w:after="0"/>
        <w:tabs>
          <w:tab w:leader="none" w:pos="424"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SHARE LIMITS; GRANT OF AWARDS</w:t>
      </w:r>
    </w:p>
    <w:p>
      <w:pPr>
        <w:spacing w:after="0" w:line="121" w:lineRule="exact"/>
        <w:rPr>
          <w:sz w:val="20"/>
          <w:szCs w:val="20"/>
          <w:color w:val="auto"/>
        </w:rPr>
      </w:pPr>
    </w:p>
    <w:p>
      <w:pPr>
        <w:ind w:left="4" w:right="600" w:firstLine="440"/>
        <w:spacing w:after="0" w:line="282" w:lineRule="auto"/>
        <w:rPr>
          <w:sz w:val="20"/>
          <w:szCs w:val="20"/>
          <w:color w:val="auto"/>
        </w:rPr>
      </w:pPr>
      <w:r>
        <w:rPr>
          <w:rFonts w:ascii="Times New Roman" w:cs="Times New Roman" w:eastAsia="Times New Roman" w:hAnsi="Times New Roman"/>
          <w:sz w:val="18"/>
          <w:szCs w:val="18"/>
          <w:color w:val="auto"/>
        </w:rPr>
        <w:t>The maximum number of shares of Common Stock that may be delivered pursuant to awards granted to Eligible Persons under this Plan is 1,850,000 shares (the “</w:t>
      </w:r>
      <w:r>
        <w:rPr>
          <w:rFonts w:ascii="Times New Roman" w:cs="Times New Roman" w:eastAsia="Times New Roman" w:hAnsi="Times New Roman"/>
          <w:sz w:val="18"/>
          <w:szCs w:val="18"/>
          <w:b w:val="1"/>
          <w:bCs w:val="1"/>
          <w:i w:val="1"/>
          <w:iCs w:val="1"/>
          <w:color w:val="auto"/>
        </w:rPr>
        <w:t>Share Limit</w:t>
      </w:r>
      <w:r>
        <w:rPr>
          <w:rFonts w:ascii="Times New Roman" w:cs="Times New Roman" w:eastAsia="Times New Roman" w:hAnsi="Times New Roman"/>
          <w:sz w:val="18"/>
          <w:szCs w:val="18"/>
          <w:color w:val="auto"/>
        </w:rPr>
        <w:t>”), such limit subject to adjustment as contemplated by Section 9(a) of the 2013 Plan.</w:t>
      </w:r>
    </w:p>
    <w:p>
      <w:pPr>
        <w:spacing w:after="0" w:line="306" w:lineRule="exact"/>
        <w:rPr>
          <w:sz w:val="20"/>
          <w:szCs w:val="20"/>
          <w:color w:val="auto"/>
        </w:rPr>
      </w:pPr>
    </w:p>
    <w:p>
      <w:pPr>
        <w:ind w:left="424" w:hanging="424"/>
        <w:spacing w:after="0"/>
        <w:tabs>
          <w:tab w:leader="none" w:pos="424"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EFFECTIVE DATE</w:t>
      </w:r>
    </w:p>
    <w:p>
      <w:pPr>
        <w:spacing w:after="0" w:line="117" w:lineRule="exact"/>
        <w:rPr>
          <w:sz w:val="20"/>
          <w:szCs w:val="20"/>
          <w:color w:val="auto"/>
        </w:rPr>
      </w:pPr>
    </w:p>
    <w:p>
      <w:pPr>
        <w:ind w:left="4" w:right="100" w:firstLine="440"/>
        <w:spacing w:after="0" w:line="257" w:lineRule="auto"/>
        <w:rPr>
          <w:sz w:val="20"/>
          <w:szCs w:val="20"/>
          <w:color w:val="auto"/>
        </w:rPr>
      </w:pPr>
      <w:r>
        <w:rPr>
          <w:rFonts w:ascii="Times New Roman" w:cs="Times New Roman" w:eastAsia="Times New Roman" w:hAnsi="Times New Roman"/>
          <w:sz w:val="18"/>
          <w:szCs w:val="18"/>
          <w:color w:val="auto"/>
        </w:rPr>
        <w:t>This Plan is effective as of June 15, 2021, the date of its approval by the Board (the “</w:t>
      </w:r>
      <w:r>
        <w:rPr>
          <w:rFonts w:ascii="Times New Roman" w:cs="Times New Roman" w:eastAsia="Times New Roman" w:hAnsi="Times New Roman"/>
          <w:sz w:val="18"/>
          <w:szCs w:val="18"/>
          <w:b w:val="1"/>
          <w:bCs w:val="1"/>
          <w:i w:val="1"/>
          <w:iCs w:val="1"/>
          <w:color w:val="auto"/>
        </w:rPr>
        <w:t>Effective Date</w:t>
      </w:r>
      <w:r>
        <w:rPr>
          <w:rFonts w:ascii="Times New Roman" w:cs="Times New Roman" w:eastAsia="Times New Roman" w:hAnsi="Times New Roman"/>
          <w:sz w:val="18"/>
          <w:szCs w:val="18"/>
          <w:color w:val="auto"/>
        </w:rPr>
        <w:t>”), and is amended and restated effective as of February 24, 2023 in order to increase the share reserve hereunder. Unless earlier terminated by the Board, this Plan shall terminate at the close of business on the day before the tenth anniversary of the Effective Date. After the termination of this Plan either upon such stated expiration date or its earlier termination by the Board, no additional awards may be granted under this Plan, but previously granted awards (and the authority of the Committee with respect thereto, including the authority to amend such awards) shall remain outstanding in accordance with their applicable terms and conditions and the terms and conditions of this Plan.</w:t>
      </w:r>
    </w:p>
    <w:p>
      <w:pPr>
        <w:spacing w:after="0" w:line="331" w:lineRule="exact"/>
        <w:rPr>
          <w:sz w:val="20"/>
          <w:szCs w:val="20"/>
          <w:color w:val="auto"/>
        </w:rPr>
      </w:pPr>
    </w:p>
    <w:p>
      <w:pPr>
        <w:ind w:left="424" w:hanging="424"/>
        <w:spacing w:after="0"/>
        <w:tabs>
          <w:tab w:leader="none" w:pos="424"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OTHER TERMS</w:t>
      </w:r>
    </w:p>
    <w:p>
      <w:pPr>
        <w:spacing w:after="0" w:line="121" w:lineRule="exact"/>
        <w:rPr>
          <w:sz w:val="20"/>
          <w:szCs w:val="20"/>
          <w:color w:val="auto"/>
        </w:rPr>
      </w:pPr>
    </w:p>
    <w:p>
      <w:pPr>
        <w:ind w:left="4" w:right="140" w:firstLine="440"/>
        <w:spacing w:after="0" w:line="261" w:lineRule="auto"/>
        <w:rPr>
          <w:sz w:val="20"/>
          <w:szCs w:val="20"/>
          <w:color w:val="auto"/>
        </w:rPr>
      </w:pPr>
      <w:r>
        <w:rPr>
          <w:rFonts w:ascii="Times New Roman" w:cs="Times New Roman" w:eastAsia="Times New Roman" w:hAnsi="Times New Roman"/>
          <w:sz w:val="18"/>
          <w:szCs w:val="18"/>
          <w:color w:val="auto"/>
        </w:rPr>
        <w:t>Except as expressly set forth herein, the terms of the Plan shall be identical to the terms of the 2013 Plan, and such terms are incorporated by reference into this Plan (with such non-substantive changes as are necessary to reflect their usage in this Plan instead of the 2013 Plan); provided, however, that no Incentive Stock Options shall be awarded under this Plan. In the event of any conflict between the provisions in this Plan and those of the 2013 Plan, the provisions of this Plan shall govern.</w:t>
      </w:r>
    </w:p>
    <w:p>
      <w:pPr>
        <w:sectPr>
          <w:pgSz w:w="11900" w:h="16838" w:orient="portrait"/>
          <w:cols w:equalWidth="0" w:num="1">
            <w:col w:w="11024"/>
          </w:cols>
          <w:pgMar w:left="436" w:top="117" w:right="439" w:bottom="1440" w:gutter="0" w:footer="0" w:header="0"/>
        </w:sectPr>
      </w:pPr>
    </w:p>
    <w:bookmarkStart w:id="9" w:name="page10"/>
    <w:bookmarkEnd w:id="9"/>
    <w:p>
      <w:pPr>
        <w:ind w:left="424" w:hanging="424"/>
        <w:spacing w:after="0"/>
        <w:tabs>
          <w:tab w:leader="none" w:pos="424"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DEFINED TERMS</w:t>
      </w:r>
    </w:p>
    <w:p>
      <w:pPr>
        <w:spacing w:after="0" w:line="117" w:lineRule="exact"/>
        <w:rPr>
          <w:sz w:val="20"/>
          <w:szCs w:val="20"/>
          <w:color w:val="auto"/>
        </w:rPr>
      </w:pPr>
    </w:p>
    <w:p>
      <w:pPr>
        <w:ind w:left="444"/>
        <w:spacing w:after="0"/>
        <w:rPr>
          <w:sz w:val="20"/>
          <w:szCs w:val="20"/>
          <w:color w:val="auto"/>
        </w:rPr>
      </w:pPr>
      <w:r>
        <w:rPr>
          <w:rFonts w:ascii="Times New Roman" w:cs="Times New Roman" w:eastAsia="Times New Roman" w:hAnsi="Times New Roman"/>
          <w:sz w:val="18"/>
          <w:szCs w:val="18"/>
          <w:b w:val="1"/>
          <w:bCs w:val="1"/>
          <w:color w:val="auto"/>
        </w:rPr>
        <w:t xml:space="preserve">6.1.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2013 Plan</w:t>
      </w:r>
      <w:r>
        <w:rPr>
          <w:rFonts w:ascii="Times New Roman" w:cs="Times New Roman" w:eastAsia="Times New Roman" w:hAnsi="Times New Roman"/>
          <w:sz w:val="18"/>
          <w:szCs w:val="18"/>
          <w:color w:val="auto"/>
        </w:rPr>
        <w:t>” means the Eiger BioPharmaceuticals, Inc. Amended and Restated 2013 Equity Incentive Plan, as may be amended from time to</w:t>
      </w:r>
    </w:p>
    <w:p>
      <w:pPr>
        <w:spacing w:after="0" w:line="31"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time.</w:t>
      </w:r>
    </w:p>
    <w:p>
      <w:pPr>
        <w:spacing w:after="0" w:line="203" w:lineRule="exact"/>
        <w:rPr>
          <w:sz w:val="20"/>
          <w:szCs w:val="20"/>
          <w:color w:val="auto"/>
        </w:rPr>
      </w:pPr>
    </w:p>
    <w:p>
      <w:pPr>
        <w:ind w:left="4" w:firstLine="440"/>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6.2.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Eligible Person</w:t>
      </w:r>
      <w:r>
        <w:rPr>
          <w:rFonts w:ascii="Times New Roman" w:cs="Times New Roman" w:eastAsia="Times New Roman" w:hAnsi="Times New Roman"/>
          <w:sz w:val="18"/>
          <w:szCs w:val="18"/>
          <w:color w:val="auto"/>
        </w:rPr>
        <w:t>” means persons expected to become Officers and other Employees of the Company and its Subsidiaries as the Committee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its sole discretion may select from time to time.</w:t>
      </w:r>
    </w:p>
    <w:p>
      <w:pPr>
        <w:spacing w:after="0" w:line="155" w:lineRule="exact"/>
        <w:rPr>
          <w:sz w:val="20"/>
          <w:szCs w:val="20"/>
          <w:color w:val="auto"/>
        </w:rPr>
      </w:pPr>
    </w:p>
    <w:p>
      <w:pPr>
        <w:ind w:left="444"/>
        <w:spacing w:after="0"/>
        <w:rPr>
          <w:sz w:val="20"/>
          <w:szCs w:val="20"/>
          <w:color w:val="auto"/>
        </w:rPr>
      </w:pPr>
      <w:r>
        <w:rPr>
          <w:rFonts w:ascii="Times New Roman" w:cs="Times New Roman" w:eastAsia="Times New Roman" w:hAnsi="Times New Roman"/>
          <w:sz w:val="18"/>
          <w:szCs w:val="18"/>
          <w:b w:val="1"/>
          <w:bCs w:val="1"/>
          <w:color w:val="auto"/>
        </w:rPr>
        <w:t xml:space="preserve">6.3 </w:t>
      </w:r>
      <w:r>
        <w:rPr>
          <w:rFonts w:ascii="Times New Roman" w:cs="Times New Roman" w:eastAsia="Times New Roman" w:hAnsi="Times New Roman"/>
          <w:sz w:val="18"/>
          <w:szCs w:val="18"/>
          <w:color w:val="auto"/>
        </w:rPr>
        <w:t>Defined terms not defined herein shall have the meaning set forth in the 2013 Plan.</w:t>
      </w:r>
    </w:p>
    <w:p>
      <w:pPr>
        <w:sectPr>
          <w:pgSz w:w="11900" w:h="16838" w:orient="portrait"/>
          <w:cols w:equalWidth="0" w:num="1">
            <w:col w:w="10964"/>
          </w:cols>
          <w:pgMar w:left="436" w:top="266" w:right="499" w:bottom="1440" w:gutter="0" w:footer="0" w:header="0"/>
        </w:sectPr>
      </w:pPr>
    </w:p>
    <w:bookmarkStart w:id="10" w:name="page11"/>
    <w:bookmarkEnd w:id="10"/>
    <w:p>
      <w:pPr>
        <w:jc w:val="right"/>
        <w:spacing w:after="0"/>
        <w:rPr>
          <w:sz w:val="20"/>
          <w:szCs w:val="20"/>
          <w:color w:val="auto"/>
        </w:rPr>
      </w:pPr>
      <w:r>
        <w:rPr>
          <w:rFonts w:ascii="Times New Roman" w:cs="Times New Roman" w:eastAsia="Times New Roman" w:hAnsi="Times New Roman"/>
          <w:sz w:val="18"/>
          <w:szCs w:val="18"/>
          <w:b w:val="1"/>
          <w:bCs w:val="1"/>
          <w:color w:val="auto"/>
        </w:rPr>
        <w:t>EXHIBIT 107</w:t>
      </w:r>
    </w:p>
    <w:p>
      <w:pPr>
        <w:spacing w:after="0" w:line="225" w:lineRule="exact"/>
        <w:rPr>
          <w:sz w:val="20"/>
          <w:szCs w:val="20"/>
          <w:color w:val="auto"/>
        </w:rPr>
      </w:pPr>
    </w:p>
    <w:p>
      <w:pPr>
        <w:jc w:val="center"/>
        <w:ind w:right="440"/>
        <w:spacing w:after="0"/>
        <w:rPr>
          <w:sz w:val="20"/>
          <w:szCs w:val="20"/>
          <w:color w:val="auto"/>
        </w:rPr>
      </w:pPr>
      <w:r>
        <w:rPr>
          <w:rFonts w:ascii="Times New Roman" w:cs="Times New Roman" w:eastAsia="Times New Roman" w:hAnsi="Times New Roman"/>
          <w:sz w:val="18"/>
          <w:szCs w:val="18"/>
          <w:b w:val="1"/>
          <w:bCs w:val="1"/>
          <w:color w:val="auto"/>
        </w:rPr>
        <w:t>Calculation of Filing Fee Table</w:t>
      </w:r>
    </w:p>
    <w:p>
      <w:pPr>
        <w:spacing w:after="0" w:line="225" w:lineRule="exact"/>
        <w:rPr>
          <w:sz w:val="20"/>
          <w:szCs w:val="20"/>
          <w:color w:val="auto"/>
        </w:rPr>
      </w:pPr>
    </w:p>
    <w:p>
      <w:pPr>
        <w:ind w:left="4660"/>
        <w:spacing w:after="0"/>
        <w:rPr>
          <w:sz w:val="20"/>
          <w:szCs w:val="20"/>
          <w:color w:val="auto"/>
        </w:rPr>
      </w:pPr>
      <w:r>
        <w:rPr>
          <w:rFonts w:ascii="Times New Roman" w:cs="Times New Roman" w:eastAsia="Times New Roman" w:hAnsi="Times New Roman"/>
          <w:sz w:val="18"/>
          <w:szCs w:val="18"/>
          <w:b w:val="1"/>
          <w:bCs w:val="1"/>
          <w:color w:val="auto"/>
        </w:rPr>
        <w:t>FORM S-8</w:t>
      </w:r>
    </w:p>
    <w:p>
      <w:pPr>
        <w:spacing w:after="0" w:line="31" w:lineRule="exact"/>
        <w:rPr>
          <w:sz w:val="20"/>
          <w:szCs w:val="20"/>
          <w:color w:val="auto"/>
        </w:rPr>
      </w:pPr>
    </w:p>
    <w:p>
      <w:pPr>
        <w:ind w:left="4600"/>
        <w:spacing w:after="0"/>
        <w:rPr>
          <w:sz w:val="20"/>
          <w:szCs w:val="20"/>
          <w:color w:val="auto"/>
        </w:rPr>
      </w:pPr>
      <w:r>
        <w:rPr>
          <w:rFonts w:ascii="Times New Roman" w:cs="Times New Roman" w:eastAsia="Times New Roman" w:hAnsi="Times New Roman"/>
          <w:sz w:val="18"/>
          <w:szCs w:val="18"/>
          <w:b w:val="1"/>
          <w:bCs w:val="1"/>
          <w:color w:val="auto"/>
        </w:rPr>
        <w:t>(Form Type)</w:t>
      </w:r>
    </w:p>
    <w:p>
      <w:pPr>
        <w:spacing w:after="0" w:line="203" w:lineRule="exact"/>
        <w:rPr>
          <w:sz w:val="20"/>
          <w:szCs w:val="20"/>
          <w:color w:val="auto"/>
        </w:rPr>
      </w:pPr>
    </w:p>
    <w:p>
      <w:pPr>
        <w:jc w:val="center"/>
        <w:ind w:right="440"/>
        <w:spacing w:after="0"/>
        <w:rPr>
          <w:sz w:val="20"/>
          <w:szCs w:val="20"/>
          <w:color w:val="auto"/>
        </w:rPr>
      </w:pPr>
      <w:r>
        <w:rPr>
          <w:rFonts w:ascii="Times New Roman" w:cs="Times New Roman" w:eastAsia="Times New Roman" w:hAnsi="Times New Roman"/>
          <w:sz w:val="18"/>
          <w:szCs w:val="18"/>
          <w:b w:val="1"/>
          <w:bCs w:val="1"/>
          <w:color w:val="auto"/>
        </w:rPr>
        <w:t>Eiger BioPharmaceuticals, Inc.</w:t>
      </w:r>
    </w:p>
    <w:p>
      <w:pPr>
        <w:spacing w:after="0" w:line="31" w:lineRule="exact"/>
        <w:rPr>
          <w:sz w:val="20"/>
          <w:szCs w:val="20"/>
          <w:color w:val="auto"/>
        </w:rPr>
      </w:pPr>
    </w:p>
    <w:p>
      <w:pPr>
        <w:jc w:val="center"/>
        <w:ind w:right="440"/>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203" w:lineRule="exact"/>
        <w:rPr>
          <w:sz w:val="20"/>
          <w:szCs w:val="20"/>
          <w:color w:val="auto"/>
        </w:rPr>
      </w:pPr>
    </w:p>
    <w:p>
      <w:pPr>
        <w:jc w:val="center"/>
        <w:ind w:right="440"/>
        <w:spacing w:after="0"/>
        <w:rPr>
          <w:sz w:val="20"/>
          <w:szCs w:val="20"/>
          <w:color w:val="auto"/>
        </w:rPr>
      </w:pPr>
      <w:r>
        <w:rPr>
          <w:rFonts w:ascii="Times New Roman" w:cs="Times New Roman" w:eastAsia="Times New Roman" w:hAnsi="Times New Roman"/>
          <w:sz w:val="18"/>
          <w:szCs w:val="18"/>
          <w:b w:val="1"/>
          <w:bCs w:val="1"/>
          <w:color w:val="auto"/>
        </w:rPr>
        <w:t>Newly Registered Securities</w:t>
      </w:r>
    </w:p>
    <w:p>
      <w:pPr>
        <w:spacing w:after="0" w:line="254" w:lineRule="exact"/>
        <w:rPr>
          <w:sz w:val="20"/>
          <w:szCs w:val="20"/>
          <w:color w:val="auto"/>
        </w:rPr>
      </w:pPr>
    </w:p>
    <w:tbl>
      <w:tblPr>
        <w:tblLayout w:type="fixed"/>
        <w:tblInd w:w="470" w:type="dxa"/>
        <w:tblCellMar>
          <w:top w:w="0" w:type="dxa"/>
          <w:left w:w="0" w:type="dxa"/>
          <w:bottom w:w="0" w:type="dxa"/>
          <w:right w:w="0" w:type="dxa"/>
        </w:tblCellMar>
      </w:tblPr>
      <w:tr>
        <w:trPr>
          <w:trHeight w:val="144"/>
        </w:trPr>
        <w:tc>
          <w:tcPr>
            <w:tcW w:w="1980" w:type="dxa"/>
            <w:vAlign w:val="bottom"/>
            <w:tcBorders>
              <w:top w:val="single" w:sz="8" w:color="auto"/>
              <w:left w:val="single" w:sz="8" w:color="auto"/>
              <w:right w:val="single" w:sz="8" w:color="auto"/>
            </w:tcBorders>
          </w:tcPr>
          <w:p>
            <w:pPr>
              <w:spacing w:after="0"/>
              <w:rPr>
                <w:sz w:val="12"/>
                <w:szCs w:val="12"/>
                <w:color w:val="auto"/>
              </w:rPr>
            </w:pPr>
          </w:p>
        </w:tc>
        <w:tc>
          <w:tcPr>
            <w:tcW w:w="820" w:type="dxa"/>
            <w:vAlign w:val="bottom"/>
            <w:tcBorders>
              <w:top w:val="single" w:sz="8" w:color="auto"/>
              <w:right w:val="single" w:sz="8" w:color="auto"/>
            </w:tcBorders>
          </w:tcPr>
          <w:p>
            <w:pPr>
              <w:spacing w:after="0"/>
              <w:rPr>
                <w:sz w:val="12"/>
                <w:szCs w:val="12"/>
                <w:color w:val="auto"/>
              </w:rPr>
            </w:pPr>
          </w:p>
        </w:tc>
        <w:tc>
          <w:tcPr>
            <w:tcW w:w="940" w:type="dxa"/>
            <w:vAlign w:val="bottom"/>
            <w:tcBorders>
              <w:top w:val="single" w:sz="8" w:color="auto"/>
              <w:right w:val="single" w:sz="8" w:color="auto"/>
            </w:tcBorders>
          </w:tcPr>
          <w:p>
            <w:pPr>
              <w:spacing w:after="0"/>
              <w:rPr>
                <w:sz w:val="12"/>
                <w:szCs w:val="12"/>
                <w:color w:val="auto"/>
              </w:rPr>
            </w:pPr>
          </w:p>
        </w:tc>
        <w:tc>
          <w:tcPr>
            <w:tcW w:w="1060" w:type="dxa"/>
            <w:vAlign w:val="bottom"/>
            <w:tcBorders>
              <w:top w:val="single" w:sz="8" w:color="auto"/>
            </w:tcBorders>
          </w:tcPr>
          <w:p>
            <w:pPr>
              <w:spacing w:after="0"/>
              <w:rPr>
                <w:sz w:val="12"/>
                <w:szCs w:val="12"/>
                <w:color w:val="auto"/>
              </w:rPr>
            </w:pPr>
          </w:p>
        </w:tc>
        <w:tc>
          <w:tcPr>
            <w:tcW w:w="60" w:type="dxa"/>
            <w:vAlign w:val="bottom"/>
            <w:tcBorders>
              <w:top w:val="single" w:sz="8" w:color="auto"/>
              <w:right w:val="single" w:sz="8" w:color="auto"/>
            </w:tcBorders>
          </w:tcPr>
          <w:p>
            <w:pPr>
              <w:spacing w:after="0"/>
              <w:rPr>
                <w:sz w:val="12"/>
                <w:szCs w:val="12"/>
                <w:color w:val="auto"/>
              </w:rPr>
            </w:pPr>
          </w:p>
        </w:tc>
        <w:tc>
          <w:tcPr>
            <w:tcW w:w="940" w:type="dxa"/>
            <w:vAlign w:val="bottom"/>
            <w:tcBorders>
              <w:top w:val="single" w:sz="8" w:color="auto"/>
              <w:right w:val="single" w:sz="8" w:color="auto"/>
            </w:tcBorders>
          </w:tcPr>
          <w:p>
            <w:pPr>
              <w:spacing w:after="0"/>
              <w:rPr>
                <w:sz w:val="12"/>
                <w:szCs w:val="12"/>
                <w:color w:val="auto"/>
              </w:rPr>
            </w:pPr>
          </w:p>
        </w:tc>
        <w:tc>
          <w:tcPr>
            <w:tcW w:w="640" w:type="dxa"/>
            <w:vAlign w:val="bottom"/>
            <w:tcBorders>
              <w:top w:val="single" w:sz="8" w:color="auto"/>
              <w:right w:val="single" w:sz="8" w:color="auto"/>
            </w:tcBorders>
          </w:tcPr>
          <w:p>
            <w:pPr>
              <w:jc w:val="center"/>
              <w:spacing w:after="0" w:line="144" w:lineRule="exact"/>
              <w:rPr>
                <w:sz w:val="20"/>
                <w:szCs w:val="20"/>
                <w:color w:val="auto"/>
              </w:rPr>
            </w:pPr>
            <w:r>
              <w:rPr>
                <w:rFonts w:ascii="Times New Roman" w:cs="Times New Roman" w:eastAsia="Times New Roman" w:hAnsi="Times New Roman"/>
                <w:sz w:val="13"/>
                <w:szCs w:val="13"/>
                <w:color w:val="auto"/>
                <w:w w:val="99"/>
              </w:rPr>
              <w:t>Proposed</w:t>
            </w:r>
          </w:p>
        </w:tc>
        <w:tc>
          <w:tcPr>
            <w:tcW w:w="1180" w:type="dxa"/>
            <w:vAlign w:val="bottom"/>
            <w:tcBorders>
              <w:top w:val="single" w:sz="8" w:color="auto"/>
              <w:right w:val="single" w:sz="8" w:color="auto"/>
            </w:tcBorders>
          </w:tcPr>
          <w:p>
            <w:pPr>
              <w:spacing w:after="0"/>
              <w:rPr>
                <w:sz w:val="12"/>
                <w:szCs w:val="12"/>
                <w:color w:val="auto"/>
              </w:rPr>
            </w:pPr>
          </w:p>
        </w:tc>
        <w:tc>
          <w:tcPr>
            <w:tcW w:w="920" w:type="dxa"/>
            <w:vAlign w:val="bottom"/>
            <w:tcBorders>
              <w:top w:val="single" w:sz="8" w:color="auto"/>
              <w:right w:val="single" w:sz="8" w:color="auto"/>
            </w:tcBorders>
          </w:tcPr>
          <w:p>
            <w:pPr>
              <w:spacing w:after="0"/>
              <w:rPr>
                <w:sz w:val="12"/>
                <w:szCs w:val="12"/>
                <w:color w:val="auto"/>
              </w:rPr>
            </w:pPr>
          </w:p>
        </w:tc>
        <w:tc>
          <w:tcPr>
            <w:tcW w:w="740" w:type="dxa"/>
            <w:vAlign w:val="bottom"/>
            <w:tcBorders>
              <w:top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1980" w:type="dxa"/>
            <w:vAlign w:val="bottom"/>
            <w:tcBorders>
              <w:left w:val="single" w:sz="8" w:color="auto"/>
              <w:right w:val="single" w:sz="8" w:color="auto"/>
            </w:tcBorders>
          </w:tcPr>
          <w:p>
            <w:pPr>
              <w:spacing w:after="0"/>
              <w:rPr>
                <w:sz w:val="11"/>
                <w:szCs w:val="11"/>
                <w:color w:val="auto"/>
              </w:rPr>
            </w:pPr>
          </w:p>
        </w:tc>
        <w:tc>
          <w:tcPr>
            <w:tcW w:w="820" w:type="dxa"/>
            <w:vAlign w:val="bottom"/>
            <w:tcBorders>
              <w:right w:val="single" w:sz="8" w:color="auto"/>
            </w:tcBorders>
          </w:tcPr>
          <w:p>
            <w:pPr>
              <w:spacing w:after="0"/>
              <w:rPr>
                <w:sz w:val="11"/>
                <w:szCs w:val="11"/>
                <w:color w:val="auto"/>
              </w:rPr>
            </w:pPr>
          </w:p>
        </w:tc>
        <w:tc>
          <w:tcPr>
            <w:tcW w:w="940" w:type="dxa"/>
            <w:vAlign w:val="bottom"/>
            <w:tcBorders>
              <w:right w:val="single" w:sz="8" w:color="auto"/>
            </w:tcBorders>
          </w:tcPr>
          <w:p>
            <w:pPr>
              <w:spacing w:after="0"/>
              <w:rPr>
                <w:sz w:val="11"/>
                <w:szCs w:val="11"/>
                <w:color w:val="auto"/>
              </w:rPr>
            </w:pPr>
          </w:p>
        </w:tc>
        <w:tc>
          <w:tcPr>
            <w:tcW w:w="1060" w:type="dxa"/>
            <w:vAlign w:val="bottom"/>
          </w:tcPr>
          <w:p>
            <w:pPr>
              <w:spacing w:after="0"/>
              <w:rPr>
                <w:sz w:val="11"/>
                <w:szCs w:val="11"/>
                <w:color w:val="auto"/>
              </w:rPr>
            </w:pPr>
          </w:p>
        </w:tc>
        <w:tc>
          <w:tcPr>
            <w:tcW w:w="60" w:type="dxa"/>
            <w:vAlign w:val="bottom"/>
            <w:tcBorders>
              <w:right w:val="single" w:sz="8" w:color="auto"/>
            </w:tcBorders>
          </w:tcPr>
          <w:p>
            <w:pPr>
              <w:spacing w:after="0"/>
              <w:rPr>
                <w:sz w:val="11"/>
                <w:szCs w:val="11"/>
                <w:color w:val="auto"/>
              </w:rPr>
            </w:pPr>
          </w:p>
        </w:tc>
        <w:tc>
          <w:tcPr>
            <w:tcW w:w="940" w:type="dxa"/>
            <w:vAlign w:val="bottom"/>
            <w:tcBorders>
              <w:right w:val="single" w:sz="8" w:color="auto"/>
            </w:tcBorders>
          </w:tcPr>
          <w:p>
            <w:pPr>
              <w:spacing w:after="0"/>
              <w:rPr>
                <w:sz w:val="11"/>
                <w:szCs w:val="11"/>
                <w:color w:val="auto"/>
              </w:rPr>
            </w:pPr>
          </w:p>
        </w:tc>
        <w:tc>
          <w:tcPr>
            <w:tcW w:w="640" w:type="dxa"/>
            <w:vAlign w:val="bottom"/>
            <w:tcBorders>
              <w:right w:val="single" w:sz="8" w:color="auto"/>
            </w:tcBorders>
          </w:tcPr>
          <w:p>
            <w:pPr>
              <w:jc w:val="center"/>
              <w:spacing w:after="0" w:line="135" w:lineRule="exact"/>
              <w:rPr>
                <w:sz w:val="20"/>
                <w:szCs w:val="20"/>
                <w:color w:val="auto"/>
              </w:rPr>
            </w:pPr>
            <w:r>
              <w:rPr>
                <w:rFonts w:ascii="Times New Roman" w:cs="Times New Roman" w:eastAsia="Times New Roman" w:hAnsi="Times New Roman"/>
                <w:sz w:val="13"/>
                <w:szCs w:val="13"/>
                <w:color w:val="auto"/>
                <w:w w:val="95"/>
              </w:rPr>
              <w:t>Maximum</w:t>
            </w:r>
          </w:p>
        </w:tc>
        <w:tc>
          <w:tcPr>
            <w:tcW w:w="1180" w:type="dxa"/>
            <w:vAlign w:val="bottom"/>
            <w:tcBorders>
              <w:right w:val="single" w:sz="8" w:color="auto"/>
            </w:tcBorders>
          </w:tcPr>
          <w:p>
            <w:pPr>
              <w:spacing w:after="0"/>
              <w:rPr>
                <w:sz w:val="11"/>
                <w:szCs w:val="11"/>
                <w:color w:val="auto"/>
              </w:rPr>
            </w:pPr>
          </w:p>
        </w:tc>
        <w:tc>
          <w:tcPr>
            <w:tcW w:w="920" w:type="dxa"/>
            <w:vAlign w:val="bottom"/>
            <w:tcBorders>
              <w:right w:val="single" w:sz="8" w:color="auto"/>
            </w:tcBorders>
          </w:tcPr>
          <w:p>
            <w:pPr>
              <w:spacing w:after="0"/>
              <w:rPr>
                <w:sz w:val="11"/>
                <w:szCs w:val="11"/>
                <w:color w:val="auto"/>
              </w:rPr>
            </w:pPr>
          </w:p>
        </w:tc>
        <w:tc>
          <w:tcPr>
            <w:tcW w:w="7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1980" w:type="dxa"/>
            <w:vAlign w:val="bottom"/>
            <w:tcBorders>
              <w:left w:val="single" w:sz="8" w:color="auto"/>
              <w:right w:val="single" w:sz="8" w:color="auto"/>
            </w:tcBorders>
          </w:tcPr>
          <w:p>
            <w:pPr>
              <w:spacing w:after="0"/>
              <w:rPr>
                <w:sz w:val="11"/>
                <w:szCs w:val="11"/>
                <w:color w:val="auto"/>
              </w:rPr>
            </w:pPr>
          </w:p>
        </w:tc>
        <w:tc>
          <w:tcPr>
            <w:tcW w:w="8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3"/>
                <w:szCs w:val="13"/>
                <w:color w:val="auto"/>
                <w:w w:val="96"/>
              </w:rPr>
              <w:t>Security</w:t>
            </w:r>
          </w:p>
        </w:tc>
        <w:tc>
          <w:tcPr>
            <w:tcW w:w="940" w:type="dxa"/>
            <w:vAlign w:val="bottom"/>
            <w:tcBorders>
              <w:right w:val="single" w:sz="8" w:color="auto"/>
            </w:tcBorders>
          </w:tcPr>
          <w:p>
            <w:pPr>
              <w:jc w:val="center"/>
              <w:spacing w:after="0" w:line="135" w:lineRule="exact"/>
              <w:rPr>
                <w:sz w:val="20"/>
                <w:szCs w:val="20"/>
                <w:color w:val="auto"/>
              </w:rPr>
            </w:pPr>
            <w:r>
              <w:rPr>
                <w:rFonts w:ascii="Times New Roman" w:cs="Times New Roman" w:eastAsia="Times New Roman" w:hAnsi="Times New Roman"/>
                <w:sz w:val="13"/>
                <w:szCs w:val="13"/>
                <w:color w:val="auto"/>
                <w:w w:val="96"/>
              </w:rPr>
              <w:t>Security</w:t>
            </w:r>
          </w:p>
        </w:tc>
        <w:tc>
          <w:tcPr>
            <w:tcW w:w="1060" w:type="dxa"/>
            <w:vAlign w:val="bottom"/>
          </w:tcPr>
          <w:p>
            <w:pPr>
              <w:jc w:val="center"/>
              <w:ind w:left="17"/>
              <w:spacing w:after="0" w:line="135" w:lineRule="exact"/>
              <w:rPr>
                <w:sz w:val="20"/>
                <w:szCs w:val="20"/>
                <w:color w:val="auto"/>
              </w:rPr>
            </w:pPr>
            <w:r>
              <w:rPr>
                <w:rFonts w:ascii="Times New Roman" w:cs="Times New Roman" w:eastAsia="Times New Roman" w:hAnsi="Times New Roman"/>
                <w:sz w:val="13"/>
                <w:szCs w:val="13"/>
                <w:color w:val="auto"/>
              </w:rPr>
              <w:t>Fee</w:t>
            </w:r>
          </w:p>
        </w:tc>
        <w:tc>
          <w:tcPr>
            <w:tcW w:w="60" w:type="dxa"/>
            <w:vAlign w:val="bottom"/>
            <w:tcBorders>
              <w:right w:val="single" w:sz="8" w:color="auto"/>
            </w:tcBorders>
          </w:tcPr>
          <w:p>
            <w:pPr>
              <w:spacing w:after="0"/>
              <w:rPr>
                <w:sz w:val="11"/>
                <w:szCs w:val="11"/>
                <w:color w:val="auto"/>
              </w:rPr>
            </w:pPr>
          </w:p>
        </w:tc>
        <w:tc>
          <w:tcPr>
            <w:tcW w:w="940" w:type="dxa"/>
            <w:vAlign w:val="bottom"/>
            <w:tcBorders>
              <w:right w:val="single" w:sz="8" w:color="auto"/>
            </w:tcBorders>
          </w:tcPr>
          <w:p>
            <w:pPr>
              <w:spacing w:after="0"/>
              <w:rPr>
                <w:sz w:val="11"/>
                <w:szCs w:val="11"/>
                <w:color w:val="auto"/>
              </w:rPr>
            </w:pPr>
          </w:p>
        </w:tc>
        <w:tc>
          <w:tcPr>
            <w:tcW w:w="640" w:type="dxa"/>
            <w:vAlign w:val="bottom"/>
            <w:tcBorders>
              <w:right w:val="single" w:sz="8" w:color="auto"/>
            </w:tcBorders>
          </w:tcPr>
          <w:p>
            <w:pPr>
              <w:jc w:val="center"/>
              <w:spacing w:after="0" w:line="135" w:lineRule="exact"/>
              <w:rPr>
                <w:sz w:val="20"/>
                <w:szCs w:val="20"/>
                <w:color w:val="auto"/>
              </w:rPr>
            </w:pPr>
            <w:r>
              <w:rPr>
                <w:rFonts w:ascii="Times New Roman" w:cs="Times New Roman" w:eastAsia="Times New Roman" w:hAnsi="Times New Roman"/>
                <w:sz w:val="13"/>
                <w:szCs w:val="13"/>
                <w:color w:val="auto"/>
                <w:w w:val="98"/>
              </w:rPr>
              <w:t>Offering</w:t>
            </w:r>
          </w:p>
        </w:tc>
        <w:tc>
          <w:tcPr>
            <w:tcW w:w="1180" w:type="dxa"/>
            <w:vAlign w:val="bottom"/>
            <w:tcBorders>
              <w:right w:val="single" w:sz="8" w:color="auto"/>
            </w:tcBorders>
          </w:tcPr>
          <w:p>
            <w:pPr>
              <w:jc w:val="center"/>
              <w:spacing w:after="0" w:line="135" w:lineRule="exact"/>
              <w:rPr>
                <w:sz w:val="20"/>
                <w:szCs w:val="20"/>
                <w:color w:val="auto"/>
              </w:rPr>
            </w:pPr>
            <w:r>
              <w:rPr>
                <w:rFonts w:ascii="Times New Roman" w:cs="Times New Roman" w:eastAsia="Times New Roman" w:hAnsi="Times New Roman"/>
                <w:sz w:val="13"/>
                <w:szCs w:val="13"/>
                <w:color w:val="auto"/>
                <w:w w:val="95"/>
              </w:rPr>
              <w:t>Maximum</w:t>
            </w:r>
          </w:p>
        </w:tc>
        <w:tc>
          <w:tcPr>
            <w:tcW w:w="920" w:type="dxa"/>
            <w:vAlign w:val="bottom"/>
            <w:tcBorders>
              <w:right w:val="single" w:sz="8" w:color="auto"/>
            </w:tcBorders>
          </w:tcPr>
          <w:p>
            <w:pPr>
              <w:spacing w:after="0"/>
              <w:rPr>
                <w:sz w:val="11"/>
                <w:szCs w:val="11"/>
                <w:color w:val="auto"/>
              </w:rPr>
            </w:pPr>
          </w:p>
        </w:tc>
        <w:tc>
          <w:tcPr>
            <w:tcW w:w="740" w:type="dxa"/>
            <w:vAlign w:val="bottom"/>
            <w:tcBorders>
              <w:right w:val="single" w:sz="8" w:color="auto"/>
            </w:tcBorders>
          </w:tcPr>
          <w:p>
            <w:pPr>
              <w:jc w:val="center"/>
              <w:spacing w:after="0" w:line="135" w:lineRule="exact"/>
              <w:rPr>
                <w:sz w:val="20"/>
                <w:szCs w:val="20"/>
                <w:color w:val="auto"/>
              </w:rPr>
            </w:pPr>
            <w:r>
              <w:rPr>
                <w:rFonts w:ascii="Times New Roman" w:cs="Times New Roman" w:eastAsia="Times New Roman" w:hAnsi="Times New Roman"/>
                <w:sz w:val="13"/>
                <w:szCs w:val="13"/>
                <w:color w:val="auto"/>
                <w:w w:val="98"/>
              </w:rPr>
              <w:t>Amount of</w:t>
            </w:r>
          </w:p>
        </w:tc>
        <w:tc>
          <w:tcPr>
            <w:tcW w:w="0" w:type="dxa"/>
            <w:vAlign w:val="bottom"/>
          </w:tcPr>
          <w:p>
            <w:pPr>
              <w:spacing w:after="0"/>
              <w:rPr>
                <w:sz w:val="1"/>
                <w:szCs w:val="1"/>
                <w:color w:val="auto"/>
              </w:rPr>
            </w:pPr>
          </w:p>
        </w:tc>
      </w:tr>
      <w:tr>
        <w:trPr>
          <w:trHeight w:val="126"/>
        </w:trPr>
        <w:tc>
          <w:tcPr>
            <w:tcW w:w="1980" w:type="dxa"/>
            <w:vAlign w:val="bottom"/>
            <w:tcBorders>
              <w:left w:val="single" w:sz="8" w:color="auto"/>
              <w:right w:val="single" w:sz="8" w:color="auto"/>
            </w:tcBorders>
          </w:tcPr>
          <w:p>
            <w:pPr>
              <w:spacing w:after="0"/>
              <w:rPr>
                <w:sz w:val="10"/>
                <w:szCs w:val="10"/>
                <w:color w:val="auto"/>
              </w:rPr>
            </w:pPr>
          </w:p>
        </w:tc>
        <w:tc>
          <w:tcPr>
            <w:tcW w:w="8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jc w:val="center"/>
              <w:spacing w:after="0" w:line="126" w:lineRule="exact"/>
              <w:rPr>
                <w:sz w:val="20"/>
                <w:szCs w:val="20"/>
                <w:color w:val="auto"/>
              </w:rPr>
            </w:pPr>
            <w:r>
              <w:rPr>
                <w:rFonts w:ascii="Times New Roman" w:cs="Times New Roman" w:eastAsia="Times New Roman" w:hAnsi="Times New Roman"/>
                <w:sz w:val="13"/>
                <w:szCs w:val="13"/>
                <w:color w:val="auto"/>
                <w:w w:val="99"/>
              </w:rPr>
              <w:t>Class</w:t>
            </w:r>
          </w:p>
        </w:tc>
        <w:tc>
          <w:tcPr>
            <w:tcW w:w="1060" w:type="dxa"/>
            <w:vAlign w:val="bottom"/>
          </w:tcPr>
          <w:p>
            <w:pPr>
              <w:jc w:val="center"/>
              <w:ind w:left="37"/>
              <w:spacing w:after="0" w:line="126" w:lineRule="exact"/>
              <w:rPr>
                <w:sz w:val="20"/>
                <w:szCs w:val="20"/>
                <w:color w:val="auto"/>
              </w:rPr>
            </w:pPr>
            <w:r>
              <w:rPr>
                <w:rFonts w:ascii="Times New Roman" w:cs="Times New Roman" w:eastAsia="Times New Roman" w:hAnsi="Times New Roman"/>
                <w:sz w:val="13"/>
                <w:szCs w:val="13"/>
                <w:color w:val="auto"/>
                <w:w w:val="96"/>
              </w:rPr>
              <w:t>Calculation</w:t>
            </w:r>
          </w:p>
        </w:tc>
        <w:tc>
          <w:tcPr>
            <w:tcW w:w="60" w:type="dxa"/>
            <w:vAlign w:val="bottom"/>
            <w:tcBorders>
              <w:right w:val="single" w:sz="8" w:color="auto"/>
            </w:tcBorders>
          </w:tcPr>
          <w:p>
            <w:pPr>
              <w:spacing w:after="0"/>
              <w:rPr>
                <w:sz w:val="10"/>
                <w:szCs w:val="10"/>
                <w:color w:val="auto"/>
              </w:rPr>
            </w:pPr>
          </w:p>
        </w:tc>
        <w:tc>
          <w:tcPr>
            <w:tcW w:w="940" w:type="dxa"/>
            <w:vAlign w:val="bottom"/>
            <w:tcBorders>
              <w:right w:val="single" w:sz="8" w:color="auto"/>
            </w:tcBorders>
          </w:tcPr>
          <w:p>
            <w:pPr>
              <w:jc w:val="right"/>
              <w:ind w:right="161"/>
              <w:spacing w:after="0" w:line="126" w:lineRule="exact"/>
              <w:rPr>
                <w:sz w:val="20"/>
                <w:szCs w:val="20"/>
                <w:color w:val="auto"/>
              </w:rPr>
            </w:pPr>
            <w:r>
              <w:rPr>
                <w:rFonts w:ascii="Times New Roman" w:cs="Times New Roman" w:eastAsia="Times New Roman" w:hAnsi="Times New Roman"/>
                <w:sz w:val="13"/>
                <w:szCs w:val="13"/>
                <w:color w:val="auto"/>
              </w:rPr>
              <w:t>Amount</w:t>
            </w:r>
          </w:p>
        </w:tc>
        <w:tc>
          <w:tcPr>
            <w:tcW w:w="640" w:type="dxa"/>
            <w:vAlign w:val="bottom"/>
            <w:tcBorders>
              <w:right w:val="single" w:sz="8" w:color="auto"/>
            </w:tcBorders>
          </w:tcPr>
          <w:p>
            <w:pPr>
              <w:jc w:val="center"/>
              <w:spacing w:after="0" w:line="126" w:lineRule="exact"/>
              <w:rPr>
                <w:sz w:val="20"/>
                <w:szCs w:val="20"/>
                <w:color w:val="auto"/>
              </w:rPr>
            </w:pPr>
            <w:r>
              <w:rPr>
                <w:rFonts w:ascii="Times New Roman" w:cs="Times New Roman" w:eastAsia="Times New Roman" w:hAnsi="Times New Roman"/>
                <w:sz w:val="13"/>
                <w:szCs w:val="13"/>
                <w:color w:val="auto"/>
                <w:w w:val="97"/>
              </w:rPr>
              <w:t>Price</w:t>
            </w:r>
          </w:p>
        </w:tc>
        <w:tc>
          <w:tcPr>
            <w:tcW w:w="1180" w:type="dxa"/>
            <w:vAlign w:val="bottom"/>
            <w:tcBorders>
              <w:right w:val="single" w:sz="8" w:color="auto"/>
            </w:tcBorders>
          </w:tcPr>
          <w:p>
            <w:pPr>
              <w:jc w:val="center"/>
              <w:spacing w:after="0" w:line="126" w:lineRule="exact"/>
              <w:rPr>
                <w:sz w:val="20"/>
                <w:szCs w:val="20"/>
                <w:color w:val="auto"/>
              </w:rPr>
            </w:pPr>
            <w:r>
              <w:rPr>
                <w:rFonts w:ascii="Times New Roman" w:cs="Times New Roman" w:eastAsia="Times New Roman" w:hAnsi="Times New Roman"/>
                <w:sz w:val="13"/>
                <w:szCs w:val="13"/>
                <w:color w:val="auto"/>
                <w:w w:val="95"/>
              </w:rPr>
              <w:t>Aggregate</w:t>
            </w:r>
          </w:p>
        </w:tc>
        <w:tc>
          <w:tcPr>
            <w:tcW w:w="92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jc w:val="center"/>
              <w:spacing w:after="0" w:line="126" w:lineRule="exact"/>
              <w:rPr>
                <w:sz w:val="20"/>
                <w:szCs w:val="20"/>
                <w:color w:val="auto"/>
              </w:rPr>
            </w:pPr>
            <w:r>
              <w:rPr>
                <w:rFonts w:ascii="Times New Roman" w:cs="Times New Roman" w:eastAsia="Times New Roman" w:hAnsi="Times New Roman"/>
                <w:sz w:val="13"/>
                <w:szCs w:val="13"/>
                <w:color w:val="auto"/>
                <w:w w:val="94"/>
              </w:rPr>
              <w:t>Registration</w:t>
            </w:r>
          </w:p>
        </w:tc>
        <w:tc>
          <w:tcPr>
            <w:tcW w:w="0" w:type="dxa"/>
            <w:vAlign w:val="bottom"/>
          </w:tcPr>
          <w:p>
            <w:pPr>
              <w:spacing w:after="0"/>
              <w:rPr>
                <w:sz w:val="1"/>
                <w:szCs w:val="1"/>
                <w:color w:val="auto"/>
              </w:rPr>
            </w:pPr>
          </w:p>
        </w:tc>
      </w:tr>
      <w:tr>
        <w:trPr>
          <w:trHeight w:val="174"/>
        </w:trPr>
        <w:tc>
          <w:tcPr>
            <w:tcW w:w="1980" w:type="dxa"/>
            <w:vAlign w:val="bottom"/>
            <w:tcBorders>
              <w:left w:val="single" w:sz="8" w:color="auto"/>
              <w:bottom w:val="single" w:sz="8" w:color="auto"/>
              <w:right w:val="single" w:sz="8" w:color="auto"/>
            </w:tcBorders>
          </w:tcPr>
          <w:p>
            <w:pPr>
              <w:spacing w:after="0"/>
              <w:rPr>
                <w:sz w:val="15"/>
                <w:szCs w:val="15"/>
                <w:color w:val="auto"/>
              </w:rPr>
            </w:pPr>
          </w:p>
        </w:tc>
        <w:tc>
          <w:tcPr>
            <w:tcW w:w="8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w w:val="97"/>
              </w:rPr>
              <w:t>Type</w:t>
            </w:r>
          </w:p>
        </w:tc>
        <w:tc>
          <w:tcPr>
            <w:tcW w:w="9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w w:val="97"/>
              </w:rPr>
              <w:t>Title</w:t>
            </w:r>
          </w:p>
        </w:tc>
        <w:tc>
          <w:tcPr>
            <w:tcW w:w="1060" w:type="dxa"/>
            <w:vAlign w:val="bottom"/>
            <w:tcBorders>
              <w:bottom w:val="single" w:sz="8" w:color="auto"/>
            </w:tcBorders>
          </w:tcPr>
          <w:p>
            <w:pPr>
              <w:jc w:val="center"/>
              <w:ind w:left="17"/>
              <w:spacing w:after="0"/>
              <w:rPr>
                <w:sz w:val="20"/>
                <w:szCs w:val="20"/>
                <w:color w:val="auto"/>
              </w:rPr>
            </w:pPr>
            <w:r>
              <w:rPr>
                <w:rFonts w:ascii="Times New Roman" w:cs="Times New Roman" w:eastAsia="Times New Roman" w:hAnsi="Times New Roman"/>
                <w:sz w:val="13"/>
                <w:szCs w:val="13"/>
                <w:color w:val="auto"/>
                <w:w w:val="97"/>
              </w:rPr>
              <w:t>Rule</w:t>
            </w:r>
          </w:p>
        </w:tc>
        <w:tc>
          <w:tcPr>
            <w:tcW w:w="60" w:type="dxa"/>
            <w:vAlign w:val="bottom"/>
            <w:tcBorders>
              <w:bottom w:val="single" w:sz="8" w:color="auto"/>
              <w:right w:val="single" w:sz="8" w:color="auto"/>
            </w:tcBorders>
          </w:tcPr>
          <w:p>
            <w:pPr>
              <w:spacing w:after="0"/>
              <w:rPr>
                <w:sz w:val="15"/>
                <w:szCs w:val="15"/>
                <w:color w:val="auto"/>
              </w:rPr>
            </w:pPr>
          </w:p>
        </w:tc>
        <w:tc>
          <w:tcPr>
            <w:tcW w:w="9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w w:val="96"/>
              </w:rPr>
              <w:t>Registered(1)</w:t>
            </w:r>
          </w:p>
        </w:tc>
        <w:tc>
          <w:tcPr>
            <w:tcW w:w="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w w:val="96"/>
              </w:rPr>
              <w:t>Per Unit</w:t>
            </w:r>
          </w:p>
        </w:tc>
        <w:tc>
          <w:tcPr>
            <w:tcW w:w="11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w w:val="96"/>
              </w:rPr>
              <w:t>Offering Price</w:t>
            </w:r>
          </w:p>
        </w:tc>
        <w:tc>
          <w:tcPr>
            <w:tcW w:w="9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w w:val="95"/>
              </w:rPr>
              <w:t>Fee Rate</w:t>
            </w:r>
          </w:p>
        </w:tc>
        <w:tc>
          <w:tcPr>
            <w:tcW w:w="7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w w:val="94"/>
              </w:rPr>
              <w:t>Fee(2)</w:t>
            </w:r>
          </w:p>
        </w:tc>
        <w:tc>
          <w:tcPr>
            <w:tcW w:w="0" w:type="dxa"/>
            <w:vAlign w:val="bottom"/>
          </w:tcPr>
          <w:p>
            <w:pPr>
              <w:spacing w:after="0"/>
              <w:rPr>
                <w:sz w:val="1"/>
                <w:szCs w:val="1"/>
                <w:color w:val="auto"/>
              </w:rPr>
            </w:pPr>
          </w:p>
        </w:tc>
      </w:tr>
      <w:tr>
        <w:trPr>
          <w:trHeight w:val="206"/>
        </w:trPr>
        <w:tc>
          <w:tcPr>
            <w:tcW w:w="1980" w:type="dxa"/>
            <w:vAlign w:val="bottom"/>
            <w:tcBorders>
              <w:left w:val="single" w:sz="8" w:color="auto"/>
              <w:right w:val="single" w:sz="8" w:color="auto"/>
            </w:tcBorders>
          </w:tcPr>
          <w:p>
            <w:pPr>
              <w:spacing w:after="0"/>
              <w:rPr>
                <w:sz w:val="17"/>
                <w:szCs w:val="17"/>
                <w:color w:val="auto"/>
              </w:rPr>
            </w:pPr>
          </w:p>
        </w:tc>
        <w:tc>
          <w:tcPr>
            <w:tcW w:w="820" w:type="dxa"/>
            <w:vAlign w:val="bottom"/>
            <w:tcBorders>
              <w:right w:val="single" w:sz="8" w:color="auto"/>
            </w:tcBorders>
          </w:tcPr>
          <w:p>
            <w:pPr>
              <w:spacing w:after="0"/>
              <w:rPr>
                <w:sz w:val="17"/>
                <w:szCs w:val="17"/>
                <w:color w:val="auto"/>
              </w:rPr>
            </w:pPr>
          </w:p>
        </w:tc>
        <w:tc>
          <w:tcPr>
            <w:tcW w:w="940" w:type="dxa"/>
            <w:vAlign w:val="bottom"/>
            <w:tcBorders>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w w:val="98"/>
              </w:rPr>
              <w:t>Common</w:t>
            </w:r>
          </w:p>
        </w:tc>
        <w:tc>
          <w:tcPr>
            <w:tcW w:w="1060" w:type="dxa"/>
            <w:vAlign w:val="bottom"/>
          </w:tcPr>
          <w:p>
            <w:pPr>
              <w:spacing w:after="0"/>
              <w:rPr>
                <w:sz w:val="17"/>
                <w:szCs w:val="17"/>
                <w:color w:val="auto"/>
              </w:rPr>
            </w:pPr>
          </w:p>
        </w:tc>
        <w:tc>
          <w:tcPr>
            <w:tcW w:w="60" w:type="dxa"/>
            <w:vAlign w:val="bottom"/>
            <w:tcBorders>
              <w:right w:val="single" w:sz="8" w:color="auto"/>
            </w:tcBorders>
          </w:tcPr>
          <w:p>
            <w:pPr>
              <w:spacing w:after="0"/>
              <w:rPr>
                <w:sz w:val="17"/>
                <w:szCs w:val="17"/>
                <w:color w:val="auto"/>
              </w:rPr>
            </w:pPr>
          </w:p>
        </w:tc>
        <w:tc>
          <w:tcPr>
            <w:tcW w:w="940" w:type="dxa"/>
            <w:vAlign w:val="bottom"/>
            <w:tcBorders>
              <w:right w:val="single" w:sz="8" w:color="auto"/>
            </w:tcBorders>
          </w:tcPr>
          <w:p>
            <w:pPr>
              <w:spacing w:after="0"/>
              <w:rPr>
                <w:sz w:val="17"/>
                <w:szCs w:val="17"/>
                <w:color w:val="auto"/>
              </w:rPr>
            </w:pPr>
          </w:p>
        </w:tc>
        <w:tc>
          <w:tcPr>
            <w:tcW w:w="640" w:type="dxa"/>
            <w:vAlign w:val="bottom"/>
            <w:tcBorders>
              <w:right w:val="single" w:sz="8" w:color="auto"/>
            </w:tcBorders>
          </w:tcPr>
          <w:p>
            <w:pPr>
              <w:spacing w:after="0"/>
              <w:rPr>
                <w:sz w:val="17"/>
                <w:szCs w:val="17"/>
                <w:color w:val="auto"/>
              </w:rPr>
            </w:pPr>
          </w:p>
        </w:tc>
        <w:tc>
          <w:tcPr>
            <w:tcW w:w="118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980" w:type="dxa"/>
            <w:vAlign w:val="bottom"/>
            <w:tcBorders>
              <w:left w:val="single" w:sz="8" w:color="auto"/>
              <w:right w:val="single" w:sz="8" w:color="auto"/>
            </w:tcBorders>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9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Stock,</w:t>
            </w:r>
          </w:p>
        </w:tc>
        <w:tc>
          <w:tcPr>
            <w:tcW w:w="1060" w:type="dxa"/>
            <w:vAlign w:val="bottom"/>
            <w:vMerge w:val="restart"/>
          </w:tcPr>
          <w:p>
            <w:pPr>
              <w:jc w:val="center"/>
              <w:ind w:left="17"/>
              <w:spacing w:after="0"/>
              <w:rPr>
                <w:sz w:val="20"/>
                <w:szCs w:val="20"/>
                <w:color w:val="auto"/>
              </w:rPr>
            </w:pPr>
            <w:r>
              <w:rPr>
                <w:rFonts w:ascii="Times New Roman" w:cs="Times New Roman" w:eastAsia="Times New Roman" w:hAnsi="Times New Roman"/>
                <w:sz w:val="18"/>
                <w:szCs w:val="18"/>
                <w:color w:val="auto"/>
                <w:w w:val="99"/>
              </w:rPr>
              <w:t>Rules 457(c)</w:t>
            </w:r>
          </w:p>
        </w:tc>
        <w:tc>
          <w:tcPr>
            <w:tcW w:w="60" w:type="dxa"/>
            <w:vAlign w:val="bottom"/>
            <w:tcBorders>
              <w:right w:val="single" w:sz="8" w:color="auto"/>
            </w:tcBorders>
          </w:tcPr>
          <w:p>
            <w:pPr>
              <w:spacing w:after="0"/>
              <w:rPr>
                <w:sz w:val="18"/>
                <w:szCs w:val="18"/>
                <w:color w:val="auto"/>
              </w:rPr>
            </w:pPr>
          </w:p>
        </w:tc>
        <w:tc>
          <w:tcPr>
            <w:tcW w:w="94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1180" w:type="dxa"/>
            <w:vAlign w:val="bottom"/>
            <w:tcBorders>
              <w:right w:val="single" w:sz="8" w:color="auto"/>
            </w:tcBorders>
          </w:tcPr>
          <w:p>
            <w:pPr>
              <w:spacing w:after="0"/>
              <w:rPr>
                <w:sz w:val="18"/>
                <w:szCs w:val="18"/>
                <w:color w:val="auto"/>
              </w:rPr>
            </w:pPr>
          </w:p>
        </w:tc>
        <w:tc>
          <w:tcPr>
            <w:tcW w:w="92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80"/>
        </w:trPr>
        <w:tc>
          <w:tcPr>
            <w:tcW w:w="1980" w:type="dxa"/>
            <w:vAlign w:val="bottom"/>
            <w:tcBorders>
              <w:left w:val="single" w:sz="8" w:color="auto"/>
              <w:right w:val="single" w:sz="8" w:color="auto"/>
            </w:tcBorders>
          </w:tcPr>
          <w:p>
            <w:pPr>
              <w:ind w:left="480"/>
              <w:spacing w:after="0" w:line="181" w:lineRule="exact"/>
              <w:rPr>
                <w:sz w:val="20"/>
                <w:szCs w:val="20"/>
                <w:color w:val="auto"/>
              </w:rPr>
            </w:pPr>
            <w:r>
              <w:rPr>
                <w:rFonts w:ascii="Times New Roman" w:cs="Times New Roman" w:eastAsia="Times New Roman" w:hAnsi="Times New Roman"/>
                <w:sz w:val="18"/>
                <w:szCs w:val="18"/>
                <w:color w:val="auto"/>
              </w:rPr>
              <w:t>Fees to Be Paid</w:t>
            </w:r>
          </w:p>
        </w:tc>
        <w:tc>
          <w:tcPr>
            <w:tcW w:w="82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8"/>
                <w:szCs w:val="18"/>
                <w:color w:val="auto"/>
              </w:rPr>
              <w:t>Equity(3)</w:t>
            </w:r>
          </w:p>
        </w:tc>
        <w:tc>
          <w:tcPr>
            <w:tcW w:w="9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8"/>
                <w:szCs w:val="18"/>
                <w:color w:val="auto"/>
              </w:rPr>
              <w:t>$0.001 par</w:t>
            </w:r>
          </w:p>
        </w:tc>
        <w:tc>
          <w:tcPr>
            <w:tcW w:w="1060" w:type="dxa"/>
            <w:vAlign w:val="bottom"/>
            <w:vMerge w:val="continue"/>
          </w:tcPr>
          <w:p>
            <w:pPr>
              <w:spacing w:after="0"/>
              <w:rPr>
                <w:sz w:val="15"/>
                <w:szCs w:val="15"/>
                <w:color w:val="auto"/>
              </w:rPr>
            </w:pPr>
          </w:p>
        </w:tc>
        <w:tc>
          <w:tcPr>
            <w:tcW w:w="60" w:type="dxa"/>
            <w:vAlign w:val="bottom"/>
            <w:tcBorders>
              <w:right w:val="single" w:sz="8" w:color="auto"/>
            </w:tcBorders>
          </w:tcPr>
          <w:p>
            <w:pPr>
              <w:spacing w:after="0"/>
              <w:rPr>
                <w:sz w:val="15"/>
                <w:szCs w:val="15"/>
                <w:color w:val="auto"/>
              </w:rPr>
            </w:pPr>
          </w:p>
        </w:tc>
        <w:tc>
          <w:tcPr>
            <w:tcW w:w="9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8"/>
                <w:szCs w:val="18"/>
                <w:color w:val="auto"/>
                <w:w w:val="99"/>
              </w:rPr>
              <w:t>2,203,714</w:t>
            </w:r>
          </w:p>
        </w:tc>
        <w:tc>
          <w:tcPr>
            <w:tcW w:w="6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8"/>
                <w:szCs w:val="18"/>
                <w:color w:val="auto"/>
                <w:w w:val="98"/>
              </w:rPr>
              <w:t>$1.21</w:t>
            </w:r>
          </w:p>
        </w:tc>
        <w:tc>
          <w:tcPr>
            <w:tcW w:w="118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8"/>
                <w:szCs w:val="18"/>
                <w:color w:val="auto"/>
                <w:w w:val="98"/>
              </w:rPr>
              <w:t>$2,666,493.94</w:t>
            </w:r>
          </w:p>
        </w:tc>
        <w:tc>
          <w:tcPr>
            <w:tcW w:w="92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8"/>
                <w:szCs w:val="18"/>
                <w:color w:val="auto"/>
                <w:w w:val="99"/>
              </w:rPr>
              <w:t>.00011020</w:t>
            </w:r>
          </w:p>
        </w:tc>
        <w:tc>
          <w:tcPr>
            <w:tcW w:w="7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8"/>
                <w:szCs w:val="18"/>
                <w:color w:val="auto"/>
              </w:rPr>
              <w:t>$293.85</w:t>
            </w:r>
          </w:p>
        </w:tc>
        <w:tc>
          <w:tcPr>
            <w:tcW w:w="0" w:type="dxa"/>
            <w:vAlign w:val="bottom"/>
          </w:tcPr>
          <w:p>
            <w:pPr>
              <w:spacing w:after="0"/>
              <w:rPr>
                <w:sz w:val="1"/>
                <w:szCs w:val="1"/>
                <w:color w:val="auto"/>
              </w:rPr>
            </w:pPr>
          </w:p>
        </w:tc>
      </w:tr>
      <w:tr>
        <w:trPr>
          <w:trHeight w:val="216"/>
        </w:trPr>
        <w:tc>
          <w:tcPr>
            <w:tcW w:w="1980" w:type="dxa"/>
            <w:vAlign w:val="bottom"/>
            <w:tcBorders>
              <w:left w:val="single" w:sz="8" w:color="auto"/>
              <w:right w:val="single" w:sz="8" w:color="auto"/>
            </w:tcBorders>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9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value per</w:t>
            </w:r>
          </w:p>
        </w:tc>
        <w:tc>
          <w:tcPr>
            <w:tcW w:w="1060" w:type="dxa"/>
            <w:vAlign w:val="bottom"/>
          </w:tcPr>
          <w:p>
            <w:pPr>
              <w:jc w:val="center"/>
              <w:ind w:left="17"/>
              <w:spacing w:after="0"/>
              <w:rPr>
                <w:sz w:val="20"/>
                <w:szCs w:val="20"/>
                <w:color w:val="auto"/>
              </w:rPr>
            </w:pPr>
            <w:r>
              <w:rPr>
                <w:rFonts w:ascii="Times New Roman" w:cs="Times New Roman" w:eastAsia="Times New Roman" w:hAnsi="Times New Roman"/>
                <w:sz w:val="18"/>
                <w:szCs w:val="18"/>
                <w:color w:val="auto"/>
              </w:rPr>
              <w:t>and 457(h)</w:t>
            </w:r>
          </w:p>
        </w:tc>
        <w:tc>
          <w:tcPr>
            <w:tcW w:w="60" w:type="dxa"/>
            <w:vAlign w:val="bottom"/>
            <w:tcBorders>
              <w:right w:val="single" w:sz="8" w:color="auto"/>
            </w:tcBorders>
          </w:tcPr>
          <w:p>
            <w:pPr>
              <w:spacing w:after="0"/>
              <w:rPr>
                <w:sz w:val="18"/>
                <w:szCs w:val="18"/>
                <w:color w:val="auto"/>
              </w:rPr>
            </w:pPr>
          </w:p>
        </w:tc>
        <w:tc>
          <w:tcPr>
            <w:tcW w:w="94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1180" w:type="dxa"/>
            <w:vAlign w:val="bottom"/>
            <w:tcBorders>
              <w:right w:val="single" w:sz="8" w:color="auto"/>
            </w:tcBorders>
          </w:tcPr>
          <w:p>
            <w:pPr>
              <w:spacing w:after="0"/>
              <w:rPr>
                <w:sz w:val="18"/>
                <w:szCs w:val="18"/>
                <w:color w:val="auto"/>
              </w:rPr>
            </w:pPr>
          </w:p>
        </w:tc>
        <w:tc>
          <w:tcPr>
            <w:tcW w:w="92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6"/>
        </w:trPr>
        <w:tc>
          <w:tcPr>
            <w:tcW w:w="1980" w:type="dxa"/>
            <w:vAlign w:val="bottom"/>
            <w:tcBorders>
              <w:left w:val="single" w:sz="8" w:color="auto"/>
              <w:right w:val="single" w:sz="8" w:color="auto"/>
            </w:tcBorders>
          </w:tcPr>
          <w:p>
            <w:pPr>
              <w:spacing w:after="0"/>
              <w:rPr>
                <w:sz w:val="3"/>
                <w:szCs w:val="3"/>
                <w:color w:val="auto"/>
              </w:rPr>
            </w:pPr>
          </w:p>
        </w:tc>
        <w:tc>
          <w:tcPr>
            <w:tcW w:w="820" w:type="dxa"/>
            <w:vAlign w:val="bottom"/>
            <w:tcBorders>
              <w:right w:val="single" w:sz="8" w:color="auto"/>
            </w:tcBorders>
          </w:tcPr>
          <w:p>
            <w:pPr>
              <w:spacing w:after="0"/>
              <w:rPr>
                <w:sz w:val="3"/>
                <w:szCs w:val="3"/>
                <w:color w:val="auto"/>
              </w:rPr>
            </w:pPr>
          </w:p>
        </w:tc>
        <w:tc>
          <w:tcPr>
            <w:tcW w:w="940" w:type="dxa"/>
            <w:vAlign w:val="bottom"/>
            <w:tcBorders>
              <w:right w:val="single" w:sz="8" w:color="auto"/>
            </w:tcBorders>
            <w:vMerge w:val="continue"/>
          </w:tcPr>
          <w:p>
            <w:pPr>
              <w:spacing w:after="0"/>
              <w:rPr>
                <w:sz w:val="3"/>
                <w:szCs w:val="3"/>
                <w:color w:val="auto"/>
              </w:rPr>
            </w:pPr>
          </w:p>
        </w:tc>
        <w:tc>
          <w:tcPr>
            <w:tcW w:w="1060" w:type="dxa"/>
            <w:vAlign w:val="bottom"/>
          </w:tcPr>
          <w:p>
            <w:pPr>
              <w:spacing w:after="0"/>
              <w:rPr>
                <w:sz w:val="3"/>
                <w:szCs w:val="3"/>
                <w:color w:val="auto"/>
              </w:rPr>
            </w:pPr>
          </w:p>
        </w:tc>
        <w:tc>
          <w:tcPr>
            <w:tcW w:w="60" w:type="dxa"/>
            <w:vAlign w:val="bottom"/>
            <w:tcBorders>
              <w:right w:val="single" w:sz="8" w:color="auto"/>
            </w:tcBorders>
          </w:tcPr>
          <w:p>
            <w:pPr>
              <w:spacing w:after="0"/>
              <w:rPr>
                <w:sz w:val="3"/>
                <w:szCs w:val="3"/>
                <w:color w:val="auto"/>
              </w:rPr>
            </w:pPr>
          </w:p>
        </w:tc>
        <w:tc>
          <w:tcPr>
            <w:tcW w:w="940" w:type="dxa"/>
            <w:vAlign w:val="bottom"/>
            <w:tcBorders>
              <w:right w:val="single" w:sz="8" w:color="auto"/>
            </w:tcBorders>
          </w:tcPr>
          <w:p>
            <w:pPr>
              <w:spacing w:after="0"/>
              <w:rPr>
                <w:sz w:val="3"/>
                <w:szCs w:val="3"/>
                <w:color w:val="auto"/>
              </w:rPr>
            </w:pPr>
          </w:p>
        </w:tc>
        <w:tc>
          <w:tcPr>
            <w:tcW w:w="640" w:type="dxa"/>
            <w:vAlign w:val="bottom"/>
            <w:tcBorders>
              <w:right w:val="single" w:sz="8" w:color="auto"/>
            </w:tcBorders>
          </w:tcPr>
          <w:p>
            <w:pPr>
              <w:spacing w:after="0"/>
              <w:rPr>
                <w:sz w:val="3"/>
                <w:szCs w:val="3"/>
                <w:color w:val="auto"/>
              </w:rPr>
            </w:pPr>
          </w:p>
        </w:tc>
        <w:tc>
          <w:tcPr>
            <w:tcW w:w="1180" w:type="dxa"/>
            <w:vAlign w:val="bottom"/>
            <w:tcBorders>
              <w:right w:val="single" w:sz="8" w:color="auto"/>
            </w:tcBorders>
          </w:tcPr>
          <w:p>
            <w:pPr>
              <w:spacing w:after="0"/>
              <w:rPr>
                <w:sz w:val="3"/>
                <w:szCs w:val="3"/>
                <w:color w:val="auto"/>
              </w:rPr>
            </w:pPr>
          </w:p>
        </w:tc>
        <w:tc>
          <w:tcPr>
            <w:tcW w:w="920" w:type="dxa"/>
            <w:vAlign w:val="bottom"/>
            <w:tcBorders>
              <w:right w:val="single" w:sz="8" w:color="auto"/>
            </w:tcBorders>
          </w:tcPr>
          <w:p>
            <w:pPr>
              <w:spacing w:after="0"/>
              <w:rPr>
                <w:sz w:val="3"/>
                <w:szCs w:val="3"/>
                <w:color w:val="auto"/>
              </w:rPr>
            </w:pPr>
          </w:p>
        </w:tc>
        <w:tc>
          <w:tcPr>
            <w:tcW w:w="740" w:type="dxa"/>
            <w:vAlign w:val="bottom"/>
            <w:tcBorders>
              <w:right w:val="single" w:sz="8" w:color="auto"/>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34"/>
        </w:trPr>
        <w:tc>
          <w:tcPr>
            <w:tcW w:w="1980" w:type="dxa"/>
            <w:vAlign w:val="bottom"/>
            <w:tcBorders>
              <w:left w:val="single" w:sz="8" w:color="auto"/>
              <w:right w:val="single" w:sz="8" w:color="auto"/>
            </w:tcBorders>
          </w:tcPr>
          <w:p>
            <w:pPr>
              <w:spacing w:after="0"/>
              <w:rPr>
                <w:sz w:val="20"/>
                <w:szCs w:val="20"/>
                <w:color w:val="auto"/>
              </w:rPr>
            </w:pPr>
          </w:p>
        </w:tc>
        <w:tc>
          <w:tcPr>
            <w:tcW w:w="820" w:type="dxa"/>
            <w:vAlign w:val="bottom"/>
            <w:tcBorders>
              <w:right w:val="single" w:sz="8" w:color="auto"/>
            </w:tcBorders>
          </w:tcPr>
          <w:p>
            <w:pPr>
              <w:spacing w:after="0"/>
              <w:rPr>
                <w:sz w:val="20"/>
                <w:szCs w:val="20"/>
                <w:color w:val="auto"/>
              </w:rPr>
            </w:pPr>
          </w:p>
        </w:tc>
        <w:tc>
          <w:tcPr>
            <w:tcW w:w="9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share</w:t>
            </w:r>
          </w:p>
        </w:tc>
        <w:tc>
          <w:tcPr>
            <w:tcW w:w="1060" w:type="dxa"/>
            <w:vAlign w:val="bottom"/>
          </w:tcPr>
          <w:p>
            <w:pPr>
              <w:spacing w:after="0"/>
              <w:rPr>
                <w:sz w:val="20"/>
                <w:szCs w:val="20"/>
                <w:color w:val="auto"/>
              </w:rPr>
            </w:pPr>
          </w:p>
        </w:tc>
        <w:tc>
          <w:tcPr>
            <w:tcW w:w="60" w:type="dxa"/>
            <w:vAlign w:val="bottom"/>
            <w:tcBorders>
              <w:right w:val="single" w:sz="8" w:color="auto"/>
            </w:tcBorders>
          </w:tcPr>
          <w:p>
            <w:pPr>
              <w:spacing w:after="0"/>
              <w:rPr>
                <w:sz w:val="20"/>
                <w:szCs w:val="20"/>
                <w:color w:val="auto"/>
              </w:rPr>
            </w:pPr>
          </w:p>
        </w:tc>
        <w:tc>
          <w:tcPr>
            <w:tcW w:w="94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118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7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1980" w:type="dxa"/>
            <w:vAlign w:val="bottom"/>
            <w:tcBorders>
              <w:left w:val="single" w:sz="8" w:color="auto"/>
              <w:bottom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940" w:type="dxa"/>
            <w:vAlign w:val="bottom"/>
            <w:tcBorders>
              <w:bottom w:val="single" w:sz="8" w:color="auto"/>
              <w:right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60" w:type="dxa"/>
            <w:vAlign w:val="bottom"/>
            <w:tcBorders>
              <w:bottom w:val="single" w:sz="8" w:color="auto"/>
              <w:right w:val="single" w:sz="8" w:color="auto"/>
            </w:tcBorders>
          </w:tcPr>
          <w:p>
            <w:pPr>
              <w:spacing w:after="0"/>
              <w:rPr>
                <w:sz w:val="2"/>
                <w:szCs w:val="2"/>
                <w:color w:val="auto"/>
              </w:rPr>
            </w:pPr>
          </w:p>
        </w:tc>
        <w:tc>
          <w:tcPr>
            <w:tcW w:w="940" w:type="dxa"/>
            <w:vAlign w:val="bottom"/>
            <w:tcBorders>
              <w:bottom w:val="single" w:sz="8" w:color="auto"/>
              <w:right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1180" w:type="dxa"/>
            <w:vAlign w:val="bottom"/>
            <w:tcBorders>
              <w:bottom w:val="single" w:sz="8" w:color="auto"/>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5"/>
        </w:trPr>
        <w:tc>
          <w:tcPr>
            <w:tcW w:w="1980" w:type="dxa"/>
            <w:vAlign w:val="bottom"/>
            <w:tcBorders>
              <w:left w:val="single" w:sz="8" w:color="auto"/>
              <w:right w:val="single" w:sz="8" w:color="auto"/>
            </w:tcBorders>
          </w:tcPr>
          <w:p>
            <w:pPr>
              <w:spacing w:after="0"/>
              <w:rPr>
                <w:sz w:val="17"/>
                <w:szCs w:val="17"/>
                <w:color w:val="auto"/>
              </w:rPr>
            </w:pPr>
          </w:p>
        </w:tc>
        <w:tc>
          <w:tcPr>
            <w:tcW w:w="820" w:type="dxa"/>
            <w:vAlign w:val="bottom"/>
            <w:tcBorders>
              <w:right w:val="single" w:sz="8" w:color="auto"/>
            </w:tcBorders>
          </w:tcPr>
          <w:p>
            <w:pPr>
              <w:spacing w:after="0"/>
              <w:rPr>
                <w:sz w:val="17"/>
                <w:szCs w:val="17"/>
                <w:color w:val="auto"/>
              </w:rPr>
            </w:pPr>
          </w:p>
        </w:tc>
        <w:tc>
          <w:tcPr>
            <w:tcW w:w="940" w:type="dxa"/>
            <w:vAlign w:val="bottom"/>
            <w:tcBorders>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18"/>
                <w:szCs w:val="18"/>
                <w:color w:val="auto"/>
                <w:w w:val="98"/>
              </w:rPr>
              <w:t>Common</w:t>
            </w:r>
          </w:p>
        </w:tc>
        <w:tc>
          <w:tcPr>
            <w:tcW w:w="1060" w:type="dxa"/>
            <w:vAlign w:val="bottom"/>
          </w:tcPr>
          <w:p>
            <w:pPr>
              <w:spacing w:after="0"/>
              <w:rPr>
                <w:sz w:val="17"/>
                <w:szCs w:val="17"/>
                <w:color w:val="auto"/>
              </w:rPr>
            </w:pPr>
          </w:p>
        </w:tc>
        <w:tc>
          <w:tcPr>
            <w:tcW w:w="60" w:type="dxa"/>
            <w:vAlign w:val="bottom"/>
            <w:tcBorders>
              <w:right w:val="single" w:sz="8" w:color="auto"/>
            </w:tcBorders>
          </w:tcPr>
          <w:p>
            <w:pPr>
              <w:spacing w:after="0"/>
              <w:rPr>
                <w:sz w:val="17"/>
                <w:szCs w:val="17"/>
                <w:color w:val="auto"/>
              </w:rPr>
            </w:pPr>
          </w:p>
        </w:tc>
        <w:tc>
          <w:tcPr>
            <w:tcW w:w="940" w:type="dxa"/>
            <w:vAlign w:val="bottom"/>
            <w:tcBorders>
              <w:right w:val="single" w:sz="8" w:color="auto"/>
            </w:tcBorders>
          </w:tcPr>
          <w:p>
            <w:pPr>
              <w:spacing w:after="0"/>
              <w:rPr>
                <w:sz w:val="17"/>
                <w:szCs w:val="17"/>
                <w:color w:val="auto"/>
              </w:rPr>
            </w:pPr>
          </w:p>
        </w:tc>
        <w:tc>
          <w:tcPr>
            <w:tcW w:w="640" w:type="dxa"/>
            <w:vAlign w:val="bottom"/>
            <w:tcBorders>
              <w:right w:val="single" w:sz="8" w:color="auto"/>
            </w:tcBorders>
          </w:tcPr>
          <w:p>
            <w:pPr>
              <w:spacing w:after="0"/>
              <w:rPr>
                <w:sz w:val="17"/>
                <w:szCs w:val="17"/>
                <w:color w:val="auto"/>
              </w:rPr>
            </w:pPr>
          </w:p>
        </w:tc>
        <w:tc>
          <w:tcPr>
            <w:tcW w:w="118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980" w:type="dxa"/>
            <w:vAlign w:val="bottom"/>
            <w:tcBorders>
              <w:left w:val="single" w:sz="8" w:color="auto"/>
              <w:right w:val="single" w:sz="8" w:color="auto"/>
            </w:tcBorders>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9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Stock,</w:t>
            </w:r>
          </w:p>
        </w:tc>
        <w:tc>
          <w:tcPr>
            <w:tcW w:w="1060" w:type="dxa"/>
            <w:vAlign w:val="bottom"/>
            <w:vMerge w:val="restart"/>
          </w:tcPr>
          <w:p>
            <w:pPr>
              <w:jc w:val="center"/>
              <w:ind w:left="17"/>
              <w:spacing w:after="0"/>
              <w:rPr>
                <w:sz w:val="20"/>
                <w:szCs w:val="20"/>
                <w:color w:val="auto"/>
              </w:rPr>
            </w:pPr>
            <w:r>
              <w:rPr>
                <w:rFonts w:ascii="Times New Roman" w:cs="Times New Roman" w:eastAsia="Times New Roman" w:hAnsi="Times New Roman"/>
                <w:sz w:val="18"/>
                <w:szCs w:val="18"/>
                <w:color w:val="auto"/>
                <w:w w:val="99"/>
              </w:rPr>
              <w:t>Rules 457(c)</w:t>
            </w:r>
          </w:p>
        </w:tc>
        <w:tc>
          <w:tcPr>
            <w:tcW w:w="60" w:type="dxa"/>
            <w:vAlign w:val="bottom"/>
            <w:tcBorders>
              <w:right w:val="single" w:sz="8" w:color="auto"/>
            </w:tcBorders>
          </w:tcPr>
          <w:p>
            <w:pPr>
              <w:spacing w:after="0"/>
              <w:rPr>
                <w:sz w:val="18"/>
                <w:szCs w:val="18"/>
                <w:color w:val="auto"/>
              </w:rPr>
            </w:pPr>
          </w:p>
        </w:tc>
        <w:tc>
          <w:tcPr>
            <w:tcW w:w="94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1180" w:type="dxa"/>
            <w:vAlign w:val="bottom"/>
            <w:tcBorders>
              <w:right w:val="single" w:sz="8" w:color="auto"/>
            </w:tcBorders>
          </w:tcPr>
          <w:p>
            <w:pPr>
              <w:spacing w:after="0"/>
              <w:rPr>
                <w:sz w:val="18"/>
                <w:szCs w:val="18"/>
                <w:color w:val="auto"/>
              </w:rPr>
            </w:pPr>
          </w:p>
        </w:tc>
        <w:tc>
          <w:tcPr>
            <w:tcW w:w="92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80"/>
        </w:trPr>
        <w:tc>
          <w:tcPr>
            <w:tcW w:w="1980" w:type="dxa"/>
            <w:vAlign w:val="bottom"/>
            <w:tcBorders>
              <w:left w:val="single" w:sz="8" w:color="auto"/>
              <w:right w:val="single" w:sz="8" w:color="auto"/>
            </w:tcBorders>
          </w:tcPr>
          <w:p>
            <w:pPr>
              <w:ind w:left="480"/>
              <w:spacing w:after="0" w:line="181" w:lineRule="exact"/>
              <w:rPr>
                <w:sz w:val="20"/>
                <w:szCs w:val="20"/>
                <w:color w:val="auto"/>
              </w:rPr>
            </w:pPr>
            <w:r>
              <w:rPr>
                <w:rFonts w:ascii="Times New Roman" w:cs="Times New Roman" w:eastAsia="Times New Roman" w:hAnsi="Times New Roman"/>
                <w:sz w:val="18"/>
                <w:szCs w:val="18"/>
                <w:color w:val="auto"/>
              </w:rPr>
              <w:t>Fees to Be Paid</w:t>
            </w:r>
          </w:p>
        </w:tc>
        <w:tc>
          <w:tcPr>
            <w:tcW w:w="82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8"/>
                <w:szCs w:val="18"/>
                <w:color w:val="auto"/>
              </w:rPr>
              <w:t>Equity(4)</w:t>
            </w:r>
          </w:p>
        </w:tc>
        <w:tc>
          <w:tcPr>
            <w:tcW w:w="9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8"/>
                <w:szCs w:val="18"/>
                <w:color w:val="auto"/>
              </w:rPr>
              <w:t>$0.001 par</w:t>
            </w:r>
          </w:p>
        </w:tc>
        <w:tc>
          <w:tcPr>
            <w:tcW w:w="1060" w:type="dxa"/>
            <w:vAlign w:val="bottom"/>
            <w:vMerge w:val="continue"/>
          </w:tcPr>
          <w:p>
            <w:pPr>
              <w:spacing w:after="0"/>
              <w:rPr>
                <w:sz w:val="15"/>
                <w:szCs w:val="15"/>
                <w:color w:val="auto"/>
              </w:rPr>
            </w:pPr>
          </w:p>
        </w:tc>
        <w:tc>
          <w:tcPr>
            <w:tcW w:w="60" w:type="dxa"/>
            <w:vAlign w:val="bottom"/>
            <w:tcBorders>
              <w:right w:val="single" w:sz="8" w:color="auto"/>
            </w:tcBorders>
          </w:tcPr>
          <w:p>
            <w:pPr>
              <w:spacing w:after="0"/>
              <w:rPr>
                <w:sz w:val="15"/>
                <w:szCs w:val="15"/>
                <w:color w:val="auto"/>
              </w:rPr>
            </w:pPr>
          </w:p>
        </w:tc>
        <w:tc>
          <w:tcPr>
            <w:tcW w:w="9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8"/>
                <w:szCs w:val="18"/>
                <w:color w:val="auto"/>
                <w:w w:val="99"/>
              </w:rPr>
              <w:t>165,000</w:t>
            </w:r>
          </w:p>
        </w:tc>
        <w:tc>
          <w:tcPr>
            <w:tcW w:w="6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8"/>
                <w:szCs w:val="18"/>
                <w:color w:val="auto"/>
                <w:w w:val="98"/>
              </w:rPr>
              <w:t>$1.21</w:t>
            </w:r>
          </w:p>
        </w:tc>
        <w:tc>
          <w:tcPr>
            <w:tcW w:w="118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8"/>
                <w:szCs w:val="18"/>
                <w:color w:val="auto"/>
                <w:w w:val="99"/>
              </w:rPr>
              <w:t>$199,650.00</w:t>
            </w:r>
          </w:p>
        </w:tc>
        <w:tc>
          <w:tcPr>
            <w:tcW w:w="92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8"/>
                <w:szCs w:val="18"/>
                <w:color w:val="auto"/>
                <w:w w:val="99"/>
              </w:rPr>
              <w:t>.00011020</w:t>
            </w:r>
          </w:p>
        </w:tc>
        <w:tc>
          <w:tcPr>
            <w:tcW w:w="7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8"/>
                <w:szCs w:val="18"/>
                <w:color w:val="auto"/>
                <w:w w:val="96"/>
              </w:rPr>
              <w:t>$22.00</w:t>
            </w:r>
          </w:p>
        </w:tc>
        <w:tc>
          <w:tcPr>
            <w:tcW w:w="0" w:type="dxa"/>
            <w:vAlign w:val="bottom"/>
          </w:tcPr>
          <w:p>
            <w:pPr>
              <w:spacing w:after="0"/>
              <w:rPr>
                <w:sz w:val="1"/>
                <w:szCs w:val="1"/>
                <w:color w:val="auto"/>
              </w:rPr>
            </w:pPr>
          </w:p>
        </w:tc>
      </w:tr>
      <w:tr>
        <w:trPr>
          <w:trHeight w:val="216"/>
        </w:trPr>
        <w:tc>
          <w:tcPr>
            <w:tcW w:w="1980" w:type="dxa"/>
            <w:vAlign w:val="bottom"/>
            <w:tcBorders>
              <w:left w:val="single" w:sz="8" w:color="auto"/>
              <w:right w:val="single" w:sz="8" w:color="auto"/>
            </w:tcBorders>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9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value per</w:t>
            </w:r>
          </w:p>
        </w:tc>
        <w:tc>
          <w:tcPr>
            <w:tcW w:w="1060" w:type="dxa"/>
            <w:vAlign w:val="bottom"/>
          </w:tcPr>
          <w:p>
            <w:pPr>
              <w:jc w:val="center"/>
              <w:ind w:left="17"/>
              <w:spacing w:after="0"/>
              <w:rPr>
                <w:sz w:val="20"/>
                <w:szCs w:val="20"/>
                <w:color w:val="auto"/>
              </w:rPr>
            </w:pPr>
            <w:r>
              <w:rPr>
                <w:rFonts w:ascii="Times New Roman" w:cs="Times New Roman" w:eastAsia="Times New Roman" w:hAnsi="Times New Roman"/>
                <w:sz w:val="18"/>
                <w:szCs w:val="18"/>
                <w:color w:val="auto"/>
              </w:rPr>
              <w:t>and 457(h)</w:t>
            </w:r>
          </w:p>
        </w:tc>
        <w:tc>
          <w:tcPr>
            <w:tcW w:w="60" w:type="dxa"/>
            <w:vAlign w:val="bottom"/>
            <w:tcBorders>
              <w:right w:val="single" w:sz="8" w:color="auto"/>
            </w:tcBorders>
          </w:tcPr>
          <w:p>
            <w:pPr>
              <w:spacing w:after="0"/>
              <w:rPr>
                <w:sz w:val="18"/>
                <w:szCs w:val="18"/>
                <w:color w:val="auto"/>
              </w:rPr>
            </w:pPr>
          </w:p>
        </w:tc>
        <w:tc>
          <w:tcPr>
            <w:tcW w:w="94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1180" w:type="dxa"/>
            <w:vAlign w:val="bottom"/>
            <w:tcBorders>
              <w:right w:val="single" w:sz="8" w:color="auto"/>
            </w:tcBorders>
          </w:tcPr>
          <w:p>
            <w:pPr>
              <w:spacing w:after="0"/>
              <w:rPr>
                <w:sz w:val="18"/>
                <w:szCs w:val="18"/>
                <w:color w:val="auto"/>
              </w:rPr>
            </w:pPr>
          </w:p>
        </w:tc>
        <w:tc>
          <w:tcPr>
            <w:tcW w:w="92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6"/>
        </w:trPr>
        <w:tc>
          <w:tcPr>
            <w:tcW w:w="1980" w:type="dxa"/>
            <w:vAlign w:val="bottom"/>
            <w:tcBorders>
              <w:left w:val="single" w:sz="8" w:color="auto"/>
              <w:right w:val="single" w:sz="8" w:color="auto"/>
            </w:tcBorders>
          </w:tcPr>
          <w:p>
            <w:pPr>
              <w:spacing w:after="0"/>
              <w:rPr>
                <w:sz w:val="3"/>
                <w:szCs w:val="3"/>
                <w:color w:val="auto"/>
              </w:rPr>
            </w:pPr>
          </w:p>
        </w:tc>
        <w:tc>
          <w:tcPr>
            <w:tcW w:w="820" w:type="dxa"/>
            <w:vAlign w:val="bottom"/>
            <w:tcBorders>
              <w:right w:val="single" w:sz="8" w:color="auto"/>
            </w:tcBorders>
          </w:tcPr>
          <w:p>
            <w:pPr>
              <w:spacing w:after="0"/>
              <w:rPr>
                <w:sz w:val="3"/>
                <w:szCs w:val="3"/>
                <w:color w:val="auto"/>
              </w:rPr>
            </w:pPr>
          </w:p>
        </w:tc>
        <w:tc>
          <w:tcPr>
            <w:tcW w:w="940" w:type="dxa"/>
            <w:vAlign w:val="bottom"/>
            <w:tcBorders>
              <w:right w:val="single" w:sz="8" w:color="auto"/>
            </w:tcBorders>
            <w:vMerge w:val="continue"/>
          </w:tcPr>
          <w:p>
            <w:pPr>
              <w:spacing w:after="0"/>
              <w:rPr>
                <w:sz w:val="3"/>
                <w:szCs w:val="3"/>
                <w:color w:val="auto"/>
              </w:rPr>
            </w:pPr>
          </w:p>
        </w:tc>
        <w:tc>
          <w:tcPr>
            <w:tcW w:w="1060" w:type="dxa"/>
            <w:vAlign w:val="bottom"/>
          </w:tcPr>
          <w:p>
            <w:pPr>
              <w:spacing w:after="0"/>
              <w:rPr>
                <w:sz w:val="3"/>
                <w:szCs w:val="3"/>
                <w:color w:val="auto"/>
              </w:rPr>
            </w:pPr>
          </w:p>
        </w:tc>
        <w:tc>
          <w:tcPr>
            <w:tcW w:w="60" w:type="dxa"/>
            <w:vAlign w:val="bottom"/>
            <w:tcBorders>
              <w:right w:val="single" w:sz="8" w:color="auto"/>
            </w:tcBorders>
          </w:tcPr>
          <w:p>
            <w:pPr>
              <w:spacing w:after="0"/>
              <w:rPr>
                <w:sz w:val="3"/>
                <w:szCs w:val="3"/>
                <w:color w:val="auto"/>
              </w:rPr>
            </w:pPr>
          </w:p>
        </w:tc>
        <w:tc>
          <w:tcPr>
            <w:tcW w:w="940" w:type="dxa"/>
            <w:vAlign w:val="bottom"/>
            <w:tcBorders>
              <w:right w:val="single" w:sz="8" w:color="auto"/>
            </w:tcBorders>
          </w:tcPr>
          <w:p>
            <w:pPr>
              <w:spacing w:after="0"/>
              <w:rPr>
                <w:sz w:val="3"/>
                <w:szCs w:val="3"/>
                <w:color w:val="auto"/>
              </w:rPr>
            </w:pPr>
          </w:p>
        </w:tc>
        <w:tc>
          <w:tcPr>
            <w:tcW w:w="640" w:type="dxa"/>
            <w:vAlign w:val="bottom"/>
            <w:tcBorders>
              <w:right w:val="single" w:sz="8" w:color="auto"/>
            </w:tcBorders>
          </w:tcPr>
          <w:p>
            <w:pPr>
              <w:spacing w:after="0"/>
              <w:rPr>
                <w:sz w:val="3"/>
                <w:szCs w:val="3"/>
                <w:color w:val="auto"/>
              </w:rPr>
            </w:pPr>
          </w:p>
        </w:tc>
        <w:tc>
          <w:tcPr>
            <w:tcW w:w="1180" w:type="dxa"/>
            <w:vAlign w:val="bottom"/>
            <w:tcBorders>
              <w:right w:val="single" w:sz="8" w:color="auto"/>
            </w:tcBorders>
          </w:tcPr>
          <w:p>
            <w:pPr>
              <w:spacing w:after="0"/>
              <w:rPr>
                <w:sz w:val="3"/>
                <w:szCs w:val="3"/>
                <w:color w:val="auto"/>
              </w:rPr>
            </w:pPr>
          </w:p>
        </w:tc>
        <w:tc>
          <w:tcPr>
            <w:tcW w:w="920" w:type="dxa"/>
            <w:vAlign w:val="bottom"/>
            <w:tcBorders>
              <w:right w:val="single" w:sz="8" w:color="auto"/>
            </w:tcBorders>
          </w:tcPr>
          <w:p>
            <w:pPr>
              <w:spacing w:after="0"/>
              <w:rPr>
                <w:sz w:val="3"/>
                <w:szCs w:val="3"/>
                <w:color w:val="auto"/>
              </w:rPr>
            </w:pPr>
          </w:p>
        </w:tc>
        <w:tc>
          <w:tcPr>
            <w:tcW w:w="740" w:type="dxa"/>
            <w:vAlign w:val="bottom"/>
            <w:tcBorders>
              <w:right w:val="single" w:sz="8" w:color="auto"/>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34"/>
        </w:trPr>
        <w:tc>
          <w:tcPr>
            <w:tcW w:w="1980" w:type="dxa"/>
            <w:vAlign w:val="bottom"/>
            <w:tcBorders>
              <w:left w:val="single" w:sz="8" w:color="auto"/>
              <w:right w:val="single" w:sz="8" w:color="auto"/>
            </w:tcBorders>
          </w:tcPr>
          <w:p>
            <w:pPr>
              <w:spacing w:after="0"/>
              <w:rPr>
                <w:sz w:val="20"/>
                <w:szCs w:val="20"/>
                <w:color w:val="auto"/>
              </w:rPr>
            </w:pPr>
          </w:p>
        </w:tc>
        <w:tc>
          <w:tcPr>
            <w:tcW w:w="820" w:type="dxa"/>
            <w:vAlign w:val="bottom"/>
            <w:tcBorders>
              <w:right w:val="single" w:sz="8" w:color="auto"/>
            </w:tcBorders>
          </w:tcPr>
          <w:p>
            <w:pPr>
              <w:spacing w:after="0"/>
              <w:rPr>
                <w:sz w:val="20"/>
                <w:szCs w:val="20"/>
                <w:color w:val="auto"/>
              </w:rPr>
            </w:pPr>
          </w:p>
        </w:tc>
        <w:tc>
          <w:tcPr>
            <w:tcW w:w="9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share</w:t>
            </w:r>
          </w:p>
        </w:tc>
        <w:tc>
          <w:tcPr>
            <w:tcW w:w="1060" w:type="dxa"/>
            <w:vAlign w:val="bottom"/>
          </w:tcPr>
          <w:p>
            <w:pPr>
              <w:spacing w:after="0"/>
              <w:rPr>
                <w:sz w:val="20"/>
                <w:szCs w:val="20"/>
                <w:color w:val="auto"/>
              </w:rPr>
            </w:pPr>
          </w:p>
        </w:tc>
        <w:tc>
          <w:tcPr>
            <w:tcW w:w="60" w:type="dxa"/>
            <w:vAlign w:val="bottom"/>
            <w:tcBorders>
              <w:right w:val="single" w:sz="8" w:color="auto"/>
            </w:tcBorders>
          </w:tcPr>
          <w:p>
            <w:pPr>
              <w:spacing w:after="0"/>
              <w:rPr>
                <w:sz w:val="20"/>
                <w:szCs w:val="20"/>
                <w:color w:val="auto"/>
              </w:rPr>
            </w:pPr>
          </w:p>
        </w:tc>
        <w:tc>
          <w:tcPr>
            <w:tcW w:w="94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118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7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1980" w:type="dxa"/>
            <w:vAlign w:val="bottom"/>
            <w:tcBorders>
              <w:left w:val="single" w:sz="8" w:color="auto"/>
              <w:bottom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940" w:type="dxa"/>
            <w:vAlign w:val="bottom"/>
            <w:tcBorders>
              <w:bottom w:val="single" w:sz="8" w:color="auto"/>
              <w:right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60" w:type="dxa"/>
            <w:vAlign w:val="bottom"/>
            <w:tcBorders>
              <w:bottom w:val="single" w:sz="8" w:color="auto"/>
              <w:right w:val="single" w:sz="8" w:color="auto"/>
            </w:tcBorders>
          </w:tcPr>
          <w:p>
            <w:pPr>
              <w:spacing w:after="0"/>
              <w:rPr>
                <w:sz w:val="2"/>
                <w:szCs w:val="2"/>
                <w:color w:val="auto"/>
              </w:rPr>
            </w:pPr>
          </w:p>
        </w:tc>
        <w:tc>
          <w:tcPr>
            <w:tcW w:w="940" w:type="dxa"/>
            <w:vAlign w:val="bottom"/>
            <w:tcBorders>
              <w:bottom w:val="single" w:sz="8" w:color="auto"/>
              <w:right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1180" w:type="dxa"/>
            <w:vAlign w:val="bottom"/>
            <w:tcBorders>
              <w:bottom w:val="single" w:sz="8" w:color="auto"/>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5"/>
        </w:trPr>
        <w:tc>
          <w:tcPr>
            <w:tcW w:w="1980" w:type="dxa"/>
            <w:vAlign w:val="bottom"/>
            <w:tcBorders>
              <w:left w:val="single" w:sz="8" w:color="auto"/>
              <w:right w:val="single" w:sz="8" w:color="auto"/>
            </w:tcBorders>
          </w:tcPr>
          <w:p>
            <w:pPr>
              <w:spacing w:after="0"/>
              <w:rPr>
                <w:sz w:val="17"/>
                <w:szCs w:val="17"/>
                <w:color w:val="auto"/>
              </w:rPr>
            </w:pPr>
          </w:p>
        </w:tc>
        <w:tc>
          <w:tcPr>
            <w:tcW w:w="820" w:type="dxa"/>
            <w:vAlign w:val="bottom"/>
            <w:tcBorders>
              <w:right w:val="single" w:sz="8" w:color="auto"/>
            </w:tcBorders>
          </w:tcPr>
          <w:p>
            <w:pPr>
              <w:spacing w:after="0"/>
              <w:rPr>
                <w:sz w:val="17"/>
                <w:szCs w:val="17"/>
                <w:color w:val="auto"/>
              </w:rPr>
            </w:pPr>
          </w:p>
        </w:tc>
        <w:tc>
          <w:tcPr>
            <w:tcW w:w="940" w:type="dxa"/>
            <w:vAlign w:val="bottom"/>
            <w:tcBorders>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18"/>
                <w:szCs w:val="18"/>
                <w:color w:val="auto"/>
                <w:w w:val="98"/>
              </w:rPr>
              <w:t>Common</w:t>
            </w:r>
          </w:p>
        </w:tc>
        <w:tc>
          <w:tcPr>
            <w:tcW w:w="1060" w:type="dxa"/>
            <w:vAlign w:val="bottom"/>
          </w:tcPr>
          <w:p>
            <w:pPr>
              <w:spacing w:after="0"/>
              <w:rPr>
                <w:sz w:val="17"/>
                <w:szCs w:val="17"/>
                <w:color w:val="auto"/>
              </w:rPr>
            </w:pPr>
          </w:p>
        </w:tc>
        <w:tc>
          <w:tcPr>
            <w:tcW w:w="60" w:type="dxa"/>
            <w:vAlign w:val="bottom"/>
            <w:tcBorders>
              <w:right w:val="single" w:sz="8" w:color="auto"/>
            </w:tcBorders>
          </w:tcPr>
          <w:p>
            <w:pPr>
              <w:spacing w:after="0"/>
              <w:rPr>
                <w:sz w:val="17"/>
                <w:szCs w:val="17"/>
                <w:color w:val="auto"/>
              </w:rPr>
            </w:pPr>
          </w:p>
        </w:tc>
        <w:tc>
          <w:tcPr>
            <w:tcW w:w="940" w:type="dxa"/>
            <w:vAlign w:val="bottom"/>
            <w:tcBorders>
              <w:right w:val="single" w:sz="8" w:color="auto"/>
            </w:tcBorders>
          </w:tcPr>
          <w:p>
            <w:pPr>
              <w:spacing w:after="0"/>
              <w:rPr>
                <w:sz w:val="17"/>
                <w:szCs w:val="17"/>
                <w:color w:val="auto"/>
              </w:rPr>
            </w:pPr>
          </w:p>
        </w:tc>
        <w:tc>
          <w:tcPr>
            <w:tcW w:w="640" w:type="dxa"/>
            <w:vAlign w:val="bottom"/>
            <w:tcBorders>
              <w:right w:val="single" w:sz="8" w:color="auto"/>
            </w:tcBorders>
          </w:tcPr>
          <w:p>
            <w:pPr>
              <w:spacing w:after="0"/>
              <w:rPr>
                <w:sz w:val="17"/>
                <w:szCs w:val="17"/>
                <w:color w:val="auto"/>
              </w:rPr>
            </w:pPr>
          </w:p>
        </w:tc>
        <w:tc>
          <w:tcPr>
            <w:tcW w:w="118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980" w:type="dxa"/>
            <w:vAlign w:val="bottom"/>
            <w:tcBorders>
              <w:left w:val="single" w:sz="8" w:color="auto"/>
              <w:right w:val="single" w:sz="8" w:color="auto"/>
            </w:tcBorders>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9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Stock,</w:t>
            </w:r>
          </w:p>
        </w:tc>
        <w:tc>
          <w:tcPr>
            <w:tcW w:w="1060" w:type="dxa"/>
            <w:vAlign w:val="bottom"/>
            <w:vMerge w:val="restart"/>
          </w:tcPr>
          <w:p>
            <w:pPr>
              <w:jc w:val="center"/>
              <w:ind w:left="17"/>
              <w:spacing w:after="0"/>
              <w:rPr>
                <w:sz w:val="20"/>
                <w:szCs w:val="20"/>
                <w:color w:val="auto"/>
              </w:rPr>
            </w:pPr>
            <w:r>
              <w:rPr>
                <w:rFonts w:ascii="Times New Roman" w:cs="Times New Roman" w:eastAsia="Times New Roman" w:hAnsi="Times New Roman"/>
                <w:sz w:val="18"/>
                <w:szCs w:val="18"/>
                <w:color w:val="auto"/>
                <w:w w:val="99"/>
              </w:rPr>
              <w:t>Rules 457(c)</w:t>
            </w:r>
          </w:p>
        </w:tc>
        <w:tc>
          <w:tcPr>
            <w:tcW w:w="60" w:type="dxa"/>
            <w:vAlign w:val="bottom"/>
            <w:tcBorders>
              <w:right w:val="single" w:sz="8" w:color="auto"/>
            </w:tcBorders>
          </w:tcPr>
          <w:p>
            <w:pPr>
              <w:spacing w:after="0"/>
              <w:rPr>
                <w:sz w:val="18"/>
                <w:szCs w:val="18"/>
                <w:color w:val="auto"/>
              </w:rPr>
            </w:pPr>
          </w:p>
        </w:tc>
        <w:tc>
          <w:tcPr>
            <w:tcW w:w="94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1180" w:type="dxa"/>
            <w:vAlign w:val="bottom"/>
            <w:tcBorders>
              <w:right w:val="single" w:sz="8" w:color="auto"/>
            </w:tcBorders>
          </w:tcPr>
          <w:p>
            <w:pPr>
              <w:spacing w:after="0"/>
              <w:rPr>
                <w:sz w:val="18"/>
                <w:szCs w:val="18"/>
                <w:color w:val="auto"/>
              </w:rPr>
            </w:pPr>
          </w:p>
        </w:tc>
        <w:tc>
          <w:tcPr>
            <w:tcW w:w="92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80"/>
        </w:trPr>
        <w:tc>
          <w:tcPr>
            <w:tcW w:w="1980" w:type="dxa"/>
            <w:vAlign w:val="bottom"/>
            <w:tcBorders>
              <w:left w:val="single" w:sz="8" w:color="auto"/>
              <w:right w:val="single" w:sz="8" w:color="auto"/>
            </w:tcBorders>
          </w:tcPr>
          <w:p>
            <w:pPr>
              <w:ind w:left="480"/>
              <w:spacing w:after="0" w:line="181" w:lineRule="exact"/>
              <w:rPr>
                <w:sz w:val="20"/>
                <w:szCs w:val="20"/>
                <w:color w:val="auto"/>
              </w:rPr>
            </w:pPr>
            <w:r>
              <w:rPr>
                <w:rFonts w:ascii="Times New Roman" w:cs="Times New Roman" w:eastAsia="Times New Roman" w:hAnsi="Times New Roman"/>
                <w:sz w:val="18"/>
                <w:szCs w:val="18"/>
                <w:color w:val="auto"/>
              </w:rPr>
              <w:t>Fees to Be Paid</w:t>
            </w:r>
          </w:p>
        </w:tc>
        <w:tc>
          <w:tcPr>
            <w:tcW w:w="82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8"/>
                <w:szCs w:val="18"/>
                <w:color w:val="auto"/>
              </w:rPr>
              <w:t>Equity(5)</w:t>
            </w:r>
          </w:p>
        </w:tc>
        <w:tc>
          <w:tcPr>
            <w:tcW w:w="9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8"/>
                <w:szCs w:val="18"/>
                <w:color w:val="auto"/>
              </w:rPr>
              <w:t>$0.001 par</w:t>
            </w:r>
          </w:p>
        </w:tc>
        <w:tc>
          <w:tcPr>
            <w:tcW w:w="1060" w:type="dxa"/>
            <w:vAlign w:val="bottom"/>
            <w:vMerge w:val="continue"/>
          </w:tcPr>
          <w:p>
            <w:pPr>
              <w:spacing w:after="0"/>
              <w:rPr>
                <w:sz w:val="15"/>
                <w:szCs w:val="15"/>
                <w:color w:val="auto"/>
              </w:rPr>
            </w:pPr>
          </w:p>
        </w:tc>
        <w:tc>
          <w:tcPr>
            <w:tcW w:w="60" w:type="dxa"/>
            <w:vAlign w:val="bottom"/>
            <w:tcBorders>
              <w:right w:val="single" w:sz="8" w:color="auto"/>
            </w:tcBorders>
          </w:tcPr>
          <w:p>
            <w:pPr>
              <w:spacing w:after="0"/>
              <w:rPr>
                <w:sz w:val="15"/>
                <w:szCs w:val="15"/>
                <w:color w:val="auto"/>
              </w:rPr>
            </w:pPr>
          </w:p>
        </w:tc>
        <w:tc>
          <w:tcPr>
            <w:tcW w:w="9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8"/>
                <w:szCs w:val="18"/>
                <w:color w:val="auto"/>
                <w:w w:val="99"/>
              </w:rPr>
              <w:t>1,000,000</w:t>
            </w:r>
          </w:p>
        </w:tc>
        <w:tc>
          <w:tcPr>
            <w:tcW w:w="6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8"/>
                <w:szCs w:val="18"/>
                <w:color w:val="auto"/>
                <w:w w:val="98"/>
              </w:rPr>
              <w:t>$1.21</w:t>
            </w:r>
          </w:p>
        </w:tc>
        <w:tc>
          <w:tcPr>
            <w:tcW w:w="118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8"/>
                <w:szCs w:val="18"/>
                <w:color w:val="auto"/>
                <w:w w:val="98"/>
              </w:rPr>
              <w:t>$1,210,000.00</w:t>
            </w:r>
          </w:p>
        </w:tc>
        <w:tc>
          <w:tcPr>
            <w:tcW w:w="92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8"/>
                <w:szCs w:val="18"/>
                <w:color w:val="auto"/>
                <w:w w:val="99"/>
              </w:rPr>
              <w:t>.00011020</w:t>
            </w:r>
          </w:p>
        </w:tc>
        <w:tc>
          <w:tcPr>
            <w:tcW w:w="740" w:type="dxa"/>
            <w:vAlign w:val="bottom"/>
            <w:tcBorders>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8"/>
                <w:szCs w:val="18"/>
                <w:color w:val="auto"/>
              </w:rPr>
              <w:t>$133.34</w:t>
            </w:r>
          </w:p>
        </w:tc>
        <w:tc>
          <w:tcPr>
            <w:tcW w:w="0" w:type="dxa"/>
            <w:vAlign w:val="bottom"/>
          </w:tcPr>
          <w:p>
            <w:pPr>
              <w:spacing w:after="0"/>
              <w:rPr>
                <w:sz w:val="1"/>
                <w:szCs w:val="1"/>
                <w:color w:val="auto"/>
              </w:rPr>
            </w:pPr>
          </w:p>
        </w:tc>
      </w:tr>
      <w:tr>
        <w:trPr>
          <w:trHeight w:val="216"/>
        </w:trPr>
        <w:tc>
          <w:tcPr>
            <w:tcW w:w="1980" w:type="dxa"/>
            <w:vAlign w:val="bottom"/>
            <w:tcBorders>
              <w:left w:val="single" w:sz="8" w:color="auto"/>
              <w:right w:val="single" w:sz="8" w:color="auto"/>
            </w:tcBorders>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9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value per</w:t>
            </w:r>
          </w:p>
        </w:tc>
        <w:tc>
          <w:tcPr>
            <w:tcW w:w="1060" w:type="dxa"/>
            <w:vAlign w:val="bottom"/>
          </w:tcPr>
          <w:p>
            <w:pPr>
              <w:jc w:val="center"/>
              <w:ind w:left="17"/>
              <w:spacing w:after="0"/>
              <w:rPr>
                <w:sz w:val="20"/>
                <w:szCs w:val="20"/>
                <w:color w:val="auto"/>
              </w:rPr>
            </w:pPr>
            <w:r>
              <w:rPr>
                <w:rFonts w:ascii="Times New Roman" w:cs="Times New Roman" w:eastAsia="Times New Roman" w:hAnsi="Times New Roman"/>
                <w:sz w:val="18"/>
                <w:szCs w:val="18"/>
                <w:color w:val="auto"/>
              </w:rPr>
              <w:t>and 457(h)</w:t>
            </w:r>
          </w:p>
        </w:tc>
        <w:tc>
          <w:tcPr>
            <w:tcW w:w="60" w:type="dxa"/>
            <w:vAlign w:val="bottom"/>
            <w:tcBorders>
              <w:right w:val="single" w:sz="8" w:color="auto"/>
            </w:tcBorders>
          </w:tcPr>
          <w:p>
            <w:pPr>
              <w:spacing w:after="0"/>
              <w:rPr>
                <w:sz w:val="18"/>
                <w:szCs w:val="18"/>
                <w:color w:val="auto"/>
              </w:rPr>
            </w:pPr>
          </w:p>
        </w:tc>
        <w:tc>
          <w:tcPr>
            <w:tcW w:w="94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1180" w:type="dxa"/>
            <w:vAlign w:val="bottom"/>
            <w:tcBorders>
              <w:right w:val="single" w:sz="8" w:color="auto"/>
            </w:tcBorders>
          </w:tcPr>
          <w:p>
            <w:pPr>
              <w:spacing w:after="0"/>
              <w:rPr>
                <w:sz w:val="18"/>
                <w:szCs w:val="18"/>
                <w:color w:val="auto"/>
              </w:rPr>
            </w:pPr>
          </w:p>
        </w:tc>
        <w:tc>
          <w:tcPr>
            <w:tcW w:w="92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6"/>
        </w:trPr>
        <w:tc>
          <w:tcPr>
            <w:tcW w:w="1980" w:type="dxa"/>
            <w:vAlign w:val="bottom"/>
            <w:tcBorders>
              <w:left w:val="single" w:sz="8" w:color="auto"/>
              <w:right w:val="single" w:sz="8" w:color="auto"/>
            </w:tcBorders>
          </w:tcPr>
          <w:p>
            <w:pPr>
              <w:spacing w:after="0"/>
              <w:rPr>
                <w:sz w:val="3"/>
                <w:szCs w:val="3"/>
                <w:color w:val="auto"/>
              </w:rPr>
            </w:pPr>
          </w:p>
        </w:tc>
        <w:tc>
          <w:tcPr>
            <w:tcW w:w="820" w:type="dxa"/>
            <w:vAlign w:val="bottom"/>
            <w:tcBorders>
              <w:right w:val="single" w:sz="8" w:color="auto"/>
            </w:tcBorders>
          </w:tcPr>
          <w:p>
            <w:pPr>
              <w:spacing w:after="0"/>
              <w:rPr>
                <w:sz w:val="3"/>
                <w:szCs w:val="3"/>
                <w:color w:val="auto"/>
              </w:rPr>
            </w:pPr>
          </w:p>
        </w:tc>
        <w:tc>
          <w:tcPr>
            <w:tcW w:w="940" w:type="dxa"/>
            <w:vAlign w:val="bottom"/>
            <w:tcBorders>
              <w:right w:val="single" w:sz="8" w:color="auto"/>
            </w:tcBorders>
            <w:vMerge w:val="continue"/>
          </w:tcPr>
          <w:p>
            <w:pPr>
              <w:spacing w:after="0"/>
              <w:rPr>
                <w:sz w:val="3"/>
                <w:szCs w:val="3"/>
                <w:color w:val="auto"/>
              </w:rPr>
            </w:pPr>
          </w:p>
        </w:tc>
        <w:tc>
          <w:tcPr>
            <w:tcW w:w="1060" w:type="dxa"/>
            <w:vAlign w:val="bottom"/>
          </w:tcPr>
          <w:p>
            <w:pPr>
              <w:spacing w:after="0"/>
              <w:rPr>
                <w:sz w:val="3"/>
                <w:szCs w:val="3"/>
                <w:color w:val="auto"/>
              </w:rPr>
            </w:pPr>
          </w:p>
        </w:tc>
        <w:tc>
          <w:tcPr>
            <w:tcW w:w="60" w:type="dxa"/>
            <w:vAlign w:val="bottom"/>
            <w:tcBorders>
              <w:right w:val="single" w:sz="8" w:color="auto"/>
            </w:tcBorders>
          </w:tcPr>
          <w:p>
            <w:pPr>
              <w:spacing w:after="0"/>
              <w:rPr>
                <w:sz w:val="3"/>
                <w:szCs w:val="3"/>
                <w:color w:val="auto"/>
              </w:rPr>
            </w:pPr>
          </w:p>
        </w:tc>
        <w:tc>
          <w:tcPr>
            <w:tcW w:w="940" w:type="dxa"/>
            <w:vAlign w:val="bottom"/>
            <w:tcBorders>
              <w:right w:val="single" w:sz="8" w:color="auto"/>
            </w:tcBorders>
          </w:tcPr>
          <w:p>
            <w:pPr>
              <w:spacing w:after="0"/>
              <w:rPr>
                <w:sz w:val="3"/>
                <w:szCs w:val="3"/>
                <w:color w:val="auto"/>
              </w:rPr>
            </w:pPr>
          </w:p>
        </w:tc>
        <w:tc>
          <w:tcPr>
            <w:tcW w:w="640" w:type="dxa"/>
            <w:vAlign w:val="bottom"/>
            <w:tcBorders>
              <w:right w:val="single" w:sz="8" w:color="auto"/>
            </w:tcBorders>
          </w:tcPr>
          <w:p>
            <w:pPr>
              <w:spacing w:after="0"/>
              <w:rPr>
                <w:sz w:val="3"/>
                <w:szCs w:val="3"/>
                <w:color w:val="auto"/>
              </w:rPr>
            </w:pPr>
          </w:p>
        </w:tc>
        <w:tc>
          <w:tcPr>
            <w:tcW w:w="1180" w:type="dxa"/>
            <w:vAlign w:val="bottom"/>
            <w:tcBorders>
              <w:right w:val="single" w:sz="8" w:color="auto"/>
            </w:tcBorders>
          </w:tcPr>
          <w:p>
            <w:pPr>
              <w:spacing w:after="0"/>
              <w:rPr>
                <w:sz w:val="3"/>
                <w:szCs w:val="3"/>
                <w:color w:val="auto"/>
              </w:rPr>
            </w:pPr>
          </w:p>
        </w:tc>
        <w:tc>
          <w:tcPr>
            <w:tcW w:w="920" w:type="dxa"/>
            <w:vAlign w:val="bottom"/>
            <w:tcBorders>
              <w:right w:val="single" w:sz="8" w:color="auto"/>
            </w:tcBorders>
          </w:tcPr>
          <w:p>
            <w:pPr>
              <w:spacing w:after="0"/>
              <w:rPr>
                <w:sz w:val="3"/>
                <w:szCs w:val="3"/>
                <w:color w:val="auto"/>
              </w:rPr>
            </w:pPr>
          </w:p>
        </w:tc>
        <w:tc>
          <w:tcPr>
            <w:tcW w:w="740" w:type="dxa"/>
            <w:vAlign w:val="bottom"/>
            <w:tcBorders>
              <w:right w:val="single" w:sz="8" w:color="auto"/>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34"/>
        </w:trPr>
        <w:tc>
          <w:tcPr>
            <w:tcW w:w="1980" w:type="dxa"/>
            <w:vAlign w:val="bottom"/>
            <w:tcBorders>
              <w:left w:val="single" w:sz="8" w:color="auto"/>
              <w:right w:val="single" w:sz="8" w:color="auto"/>
            </w:tcBorders>
          </w:tcPr>
          <w:p>
            <w:pPr>
              <w:spacing w:after="0"/>
              <w:rPr>
                <w:sz w:val="20"/>
                <w:szCs w:val="20"/>
                <w:color w:val="auto"/>
              </w:rPr>
            </w:pPr>
          </w:p>
        </w:tc>
        <w:tc>
          <w:tcPr>
            <w:tcW w:w="820" w:type="dxa"/>
            <w:vAlign w:val="bottom"/>
            <w:tcBorders>
              <w:right w:val="single" w:sz="8" w:color="auto"/>
            </w:tcBorders>
          </w:tcPr>
          <w:p>
            <w:pPr>
              <w:spacing w:after="0"/>
              <w:rPr>
                <w:sz w:val="20"/>
                <w:szCs w:val="20"/>
                <w:color w:val="auto"/>
              </w:rPr>
            </w:pPr>
          </w:p>
        </w:tc>
        <w:tc>
          <w:tcPr>
            <w:tcW w:w="9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share</w:t>
            </w:r>
          </w:p>
        </w:tc>
        <w:tc>
          <w:tcPr>
            <w:tcW w:w="1060" w:type="dxa"/>
            <w:vAlign w:val="bottom"/>
          </w:tcPr>
          <w:p>
            <w:pPr>
              <w:spacing w:after="0"/>
              <w:rPr>
                <w:sz w:val="20"/>
                <w:szCs w:val="20"/>
                <w:color w:val="auto"/>
              </w:rPr>
            </w:pPr>
          </w:p>
        </w:tc>
        <w:tc>
          <w:tcPr>
            <w:tcW w:w="60" w:type="dxa"/>
            <w:vAlign w:val="bottom"/>
            <w:tcBorders>
              <w:right w:val="single" w:sz="8" w:color="auto"/>
            </w:tcBorders>
          </w:tcPr>
          <w:p>
            <w:pPr>
              <w:spacing w:after="0"/>
              <w:rPr>
                <w:sz w:val="20"/>
                <w:szCs w:val="20"/>
                <w:color w:val="auto"/>
              </w:rPr>
            </w:pPr>
          </w:p>
        </w:tc>
        <w:tc>
          <w:tcPr>
            <w:tcW w:w="94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118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7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1980" w:type="dxa"/>
            <w:vAlign w:val="bottom"/>
            <w:tcBorders>
              <w:left w:val="single" w:sz="8" w:color="auto"/>
              <w:bottom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940" w:type="dxa"/>
            <w:vAlign w:val="bottom"/>
            <w:tcBorders>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gridSpan w:val="2"/>
          </w:tcPr>
          <w:p>
            <w:pPr>
              <w:spacing w:after="0"/>
              <w:rPr>
                <w:sz w:val="2"/>
                <w:szCs w:val="2"/>
                <w:color w:val="auto"/>
              </w:rPr>
            </w:pPr>
          </w:p>
        </w:tc>
        <w:tc>
          <w:tcPr>
            <w:tcW w:w="940" w:type="dxa"/>
            <w:vAlign w:val="bottom"/>
            <w:tcBorders>
              <w:bottom w:val="single" w:sz="8" w:color="auto"/>
              <w:right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1180" w:type="dxa"/>
            <w:vAlign w:val="bottom"/>
            <w:tcBorders>
              <w:bottom w:val="single" w:sz="8" w:color="auto"/>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2"/>
        </w:trPr>
        <w:tc>
          <w:tcPr>
            <w:tcW w:w="1980" w:type="dxa"/>
            <w:vAlign w:val="bottom"/>
            <w:tcBorders>
              <w:left w:val="single" w:sz="8" w:color="auto"/>
              <w:bottom w:val="single" w:sz="8" w:color="auto"/>
              <w:right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spacing w:after="0"/>
              <w:rPr>
                <w:sz w:val="20"/>
                <w:szCs w:val="20"/>
                <w:color w:val="auto"/>
              </w:rPr>
            </w:pPr>
          </w:p>
        </w:tc>
        <w:tc>
          <w:tcPr>
            <w:tcW w:w="2060" w:type="dxa"/>
            <w:vAlign w:val="bottom"/>
            <w:tcBorders>
              <w:bottom w:val="single" w:sz="8" w:color="auto"/>
              <w:right w:val="single" w:sz="8" w:color="auto"/>
            </w:tcBorders>
            <w:gridSpan w:val="3"/>
          </w:tcPr>
          <w:p>
            <w:pPr>
              <w:jc w:val="right"/>
              <w:ind w:right="1"/>
              <w:spacing w:after="0"/>
              <w:rPr>
                <w:sz w:val="20"/>
                <w:szCs w:val="20"/>
                <w:color w:val="auto"/>
              </w:rPr>
            </w:pPr>
            <w:r>
              <w:rPr>
                <w:rFonts w:ascii="Times New Roman" w:cs="Times New Roman" w:eastAsia="Times New Roman" w:hAnsi="Times New Roman"/>
                <w:sz w:val="18"/>
                <w:szCs w:val="18"/>
                <w:color w:val="auto"/>
              </w:rPr>
              <w:t>Total Offering Amounts</w:t>
            </w:r>
          </w:p>
        </w:tc>
        <w:tc>
          <w:tcPr>
            <w:tcW w:w="640" w:type="dxa"/>
            <w:vAlign w:val="bottom"/>
            <w:tcBorders>
              <w:bottom w:val="single" w:sz="8" w:color="auto"/>
              <w:right w:val="single" w:sz="8" w:color="auto"/>
            </w:tcBorders>
          </w:tcPr>
          <w:p>
            <w:pPr>
              <w:spacing w:after="0"/>
              <w:rPr>
                <w:sz w:val="20"/>
                <w:szCs w:val="20"/>
                <w:color w:val="auto"/>
              </w:rPr>
            </w:pPr>
          </w:p>
        </w:tc>
        <w:tc>
          <w:tcPr>
            <w:tcW w:w="11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$4,076,143.94</w:t>
            </w:r>
          </w:p>
        </w:tc>
        <w:tc>
          <w:tcPr>
            <w:tcW w:w="920" w:type="dxa"/>
            <w:vAlign w:val="bottom"/>
            <w:tcBorders>
              <w:bottom w:val="single" w:sz="8" w:color="auto"/>
              <w:right w:val="single" w:sz="8" w:color="auto"/>
            </w:tcBorders>
          </w:tcPr>
          <w:p>
            <w:pPr>
              <w:spacing w:after="0"/>
              <w:rPr>
                <w:sz w:val="20"/>
                <w:szCs w:val="20"/>
                <w:color w:val="auto"/>
              </w:rPr>
            </w:pPr>
          </w:p>
        </w:tc>
        <w:tc>
          <w:tcPr>
            <w:tcW w:w="7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$449.19</w:t>
            </w:r>
          </w:p>
        </w:tc>
        <w:tc>
          <w:tcPr>
            <w:tcW w:w="0" w:type="dxa"/>
            <w:vAlign w:val="bottom"/>
          </w:tcPr>
          <w:p>
            <w:pPr>
              <w:spacing w:after="0"/>
              <w:rPr>
                <w:sz w:val="1"/>
                <w:szCs w:val="1"/>
                <w:color w:val="auto"/>
              </w:rPr>
            </w:pPr>
          </w:p>
        </w:tc>
      </w:tr>
      <w:tr>
        <w:trPr>
          <w:trHeight w:val="237"/>
        </w:trPr>
        <w:tc>
          <w:tcPr>
            <w:tcW w:w="1980" w:type="dxa"/>
            <w:vAlign w:val="bottom"/>
            <w:tcBorders>
              <w:left w:val="single" w:sz="8" w:color="auto"/>
              <w:bottom w:val="single" w:sz="8" w:color="auto"/>
              <w:right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spacing w:after="0"/>
              <w:rPr>
                <w:sz w:val="20"/>
                <w:szCs w:val="20"/>
                <w:color w:val="auto"/>
              </w:rPr>
            </w:pPr>
          </w:p>
        </w:tc>
        <w:tc>
          <w:tcPr>
            <w:tcW w:w="2060" w:type="dxa"/>
            <w:vAlign w:val="bottom"/>
            <w:tcBorders>
              <w:bottom w:val="single" w:sz="8" w:color="auto"/>
              <w:right w:val="single" w:sz="8" w:color="auto"/>
            </w:tcBorders>
            <w:gridSpan w:val="3"/>
          </w:tcPr>
          <w:p>
            <w:pPr>
              <w:jc w:val="right"/>
              <w:ind w:right="1"/>
              <w:spacing w:after="0"/>
              <w:rPr>
                <w:sz w:val="20"/>
                <w:szCs w:val="20"/>
                <w:color w:val="auto"/>
              </w:rPr>
            </w:pPr>
            <w:r>
              <w:rPr>
                <w:rFonts w:ascii="Times New Roman" w:cs="Times New Roman" w:eastAsia="Times New Roman" w:hAnsi="Times New Roman"/>
                <w:sz w:val="18"/>
                <w:szCs w:val="18"/>
                <w:color w:val="auto"/>
              </w:rPr>
              <w:t>Total Fee Offsets</w:t>
            </w:r>
          </w:p>
        </w:tc>
        <w:tc>
          <w:tcPr>
            <w:tcW w:w="640" w:type="dxa"/>
            <w:vAlign w:val="bottom"/>
            <w:tcBorders>
              <w:bottom w:val="single" w:sz="8" w:color="auto"/>
              <w:right w:val="single" w:sz="8" w:color="auto"/>
            </w:tcBorders>
          </w:tcPr>
          <w:p>
            <w:pPr>
              <w:spacing w:after="0"/>
              <w:rPr>
                <w:sz w:val="20"/>
                <w:szCs w:val="20"/>
                <w:color w:val="auto"/>
              </w:rPr>
            </w:pPr>
          </w:p>
        </w:tc>
        <w:tc>
          <w:tcPr>
            <w:tcW w:w="118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7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7"/>
        </w:trPr>
        <w:tc>
          <w:tcPr>
            <w:tcW w:w="1980" w:type="dxa"/>
            <w:vAlign w:val="bottom"/>
            <w:tcBorders>
              <w:left w:val="single" w:sz="8" w:color="auto"/>
              <w:bottom w:val="single" w:sz="8" w:color="auto"/>
              <w:right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1000" w:type="dxa"/>
            <w:vAlign w:val="bottom"/>
            <w:tcBorders>
              <w:bottom w:val="single" w:sz="8" w:color="auto"/>
              <w:right w:val="single" w:sz="8" w:color="auto"/>
            </w:tcBorders>
            <w:gridSpan w:val="2"/>
          </w:tcPr>
          <w:p>
            <w:pPr>
              <w:jc w:val="right"/>
              <w:ind w:right="1"/>
              <w:spacing w:after="0"/>
              <w:rPr>
                <w:sz w:val="20"/>
                <w:szCs w:val="20"/>
                <w:color w:val="auto"/>
              </w:rPr>
            </w:pPr>
            <w:r>
              <w:rPr>
                <w:rFonts w:ascii="Times New Roman" w:cs="Times New Roman" w:eastAsia="Times New Roman" w:hAnsi="Times New Roman"/>
                <w:sz w:val="18"/>
                <w:szCs w:val="18"/>
                <w:color w:val="auto"/>
                <w:w w:val="98"/>
              </w:rPr>
              <w:t>Net Fee Due</w:t>
            </w:r>
          </w:p>
        </w:tc>
        <w:tc>
          <w:tcPr>
            <w:tcW w:w="640" w:type="dxa"/>
            <w:vAlign w:val="bottom"/>
            <w:tcBorders>
              <w:bottom w:val="single" w:sz="8" w:color="auto"/>
              <w:right w:val="single" w:sz="8" w:color="auto"/>
            </w:tcBorders>
          </w:tcPr>
          <w:p>
            <w:pPr>
              <w:spacing w:after="0"/>
              <w:rPr>
                <w:sz w:val="20"/>
                <w:szCs w:val="20"/>
                <w:color w:val="auto"/>
              </w:rPr>
            </w:pPr>
          </w:p>
        </w:tc>
        <w:tc>
          <w:tcPr>
            <w:tcW w:w="118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7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$449.19</w:t>
            </w:r>
          </w:p>
        </w:tc>
        <w:tc>
          <w:tcPr>
            <w:tcW w:w="0" w:type="dxa"/>
            <w:vAlign w:val="bottom"/>
          </w:tcPr>
          <w:p>
            <w:pPr>
              <w:spacing w:after="0"/>
              <w:rPr>
                <w:sz w:val="1"/>
                <w:szCs w:val="1"/>
                <w:color w:val="auto"/>
              </w:rPr>
            </w:pPr>
          </w:p>
        </w:tc>
      </w:tr>
    </w:tbl>
    <w:p>
      <w:pPr>
        <w:spacing w:after="0" w:line="103" w:lineRule="exact"/>
        <w:rPr>
          <w:sz w:val="20"/>
          <w:szCs w:val="20"/>
          <w:color w:val="auto"/>
        </w:rPr>
      </w:pPr>
    </w:p>
    <w:p>
      <w:pPr>
        <w:ind w:left="540" w:right="80" w:hanging="532"/>
        <w:spacing w:after="0" w:line="261" w:lineRule="auto"/>
        <w:tabs>
          <w:tab w:leader="none" w:pos="54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Pursuant to Rule 416(a) promulgated under the Securities Act of 1933, as amended, or the Securities Act, this Registration Statement shall also cover any additional shares of Registrant’s Common Stock that become issuable under the plans set forth herein by reason of any stock dividend, stock split, recapitalization, or other similar transaction effected that results in an increase to the number of outstanding shares of Registrant’s Common Stock, as applicable.</w:t>
      </w:r>
    </w:p>
    <w:p>
      <w:pPr>
        <w:spacing w:after="0" w:line="85" w:lineRule="exact"/>
        <w:rPr>
          <w:rFonts w:ascii="Times New Roman" w:cs="Times New Roman" w:eastAsia="Times New Roman" w:hAnsi="Times New Roman"/>
          <w:sz w:val="18"/>
          <w:szCs w:val="18"/>
          <w:color w:val="auto"/>
        </w:rPr>
      </w:pPr>
    </w:p>
    <w:p>
      <w:pPr>
        <w:ind w:left="540" w:right="340" w:hanging="532"/>
        <w:spacing w:after="0" w:line="261" w:lineRule="auto"/>
        <w:tabs>
          <w:tab w:leader="none" w:pos="54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Estimated solely for the purpose of calculating the amount of the registration fee pursuant to Rule 457(c) and Rule 457(h) promulgated under the Securities Act. The offering price per share and the aggregate offering price are based upon the average of the high and low prices of the Common Stock as reported on The Nasdaq Global Market on March 14, 2023 in accordance with Rule 457(c) of the Securities Act.</w:t>
      </w:r>
    </w:p>
    <w:p>
      <w:pPr>
        <w:spacing w:after="0" w:line="85" w:lineRule="exact"/>
        <w:rPr>
          <w:rFonts w:ascii="Times New Roman" w:cs="Times New Roman" w:eastAsia="Times New Roman" w:hAnsi="Times New Roman"/>
          <w:sz w:val="18"/>
          <w:szCs w:val="18"/>
          <w:color w:val="auto"/>
        </w:rPr>
      </w:pPr>
    </w:p>
    <w:p>
      <w:pPr>
        <w:ind w:left="540" w:right="20" w:hanging="532"/>
        <w:spacing w:after="0" w:line="256" w:lineRule="auto"/>
        <w:tabs>
          <w:tab w:leader="none" w:pos="54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shares of Common Stock that were automatically added to the shares authorized for issuance under the Eiger BioPharmaceuticals, Inc. Amended and Restated 2013 Equity Incentive Plan (the “2013 Plan”) on January 1, 2023 pursuant to an “evergreen” provision contained in the 2013 Plan. Pursuant to such provision, on the first day of each fiscal year, ending on (and including) January 1, 2026, the number of shares authorized for issuance under the 2013 Plan is automatically increased by a number equal to: (a) 5% of the total number of shares of Common Stock outstanding on the last day of the preceding fiscal year; or (b) such lesser number of shares of Common Stock as is determined by the Registrant’s board of directors (the “Board”) for the applicable year.</w:t>
      </w:r>
    </w:p>
    <w:p>
      <w:pPr>
        <w:spacing w:after="0" w:line="92" w:lineRule="exact"/>
        <w:rPr>
          <w:rFonts w:ascii="Times New Roman" w:cs="Times New Roman" w:eastAsia="Times New Roman" w:hAnsi="Times New Roman"/>
          <w:sz w:val="18"/>
          <w:szCs w:val="18"/>
          <w:color w:val="auto"/>
        </w:rPr>
      </w:pPr>
    </w:p>
    <w:p>
      <w:pPr>
        <w:ind w:left="540" w:right="180" w:hanging="532"/>
        <w:spacing w:after="0" w:line="256" w:lineRule="auto"/>
        <w:tabs>
          <w:tab w:leader="none" w:pos="54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shares of Common Stock that were automatically added to the shares authorized for issuance under the Eiger BioPharmaceuticals, Inc. Amended and Restated 2013 Employee Stock Purchase Plan (the “2013 ESPP”) on January 1, 2021 pursuant to an “evergreen” provision contained in the 2013 ESPP. Pursuant to such provision, on January 1st of each year, ending on (and including) January 1, 2026, the number of shares authorized for issuance under the 2013 ESPP is automatically increased by a number equal to the lesser of: (a) 1% of the total number of shares of Common Stock outstanding on December 31st of the preceding calendar year; (b) 165,000 shares; or (c) such lesser number of shares of Common Stock as is determined by the Board for the applicable year.</w:t>
      </w:r>
    </w:p>
    <w:p>
      <w:pPr>
        <w:spacing w:after="0" w:line="92" w:lineRule="exact"/>
        <w:rPr>
          <w:rFonts w:ascii="Times New Roman" w:cs="Times New Roman" w:eastAsia="Times New Roman" w:hAnsi="Times New Roman"/>
          <w:sz w:val="18"/>
          <w:szCs w:val="18"/>
          <w:color w:val="auto"/>
        </w:rPr>
      </w:pPr>
    </w:p>
    <w:p>
      <w:pPr>
        <w:ind w:left="540" w:right="380" w:hanging="532"/>
        <w:spacing w:after="0" w:line="282" w:lineRule="auto"/>
        <w:tabs>
          <w:tab w:leader="none" w:pos="54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shares of Common Stock that were added to the Eiger BioPharmaceuticals, Inc. 2021 Inducement Plan, pursuant to a share reserve increase approved by the Board.</w:t>
      </w:r>
    </w:p>
    <w:sectPr>
      <w:pgSz w:w="11900" w:h="16838" w:orient="portrait"/>
      <w:cols w:equalWidth="0" w:num="1">
        <w:col w:w="10600"/>
      </w:cols>
      <w:pgMar w:left="860" w:top="117"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6E87CCD"/>
    <w:multiLevelType w:val="hybridMultilevel"/>
    <w:lvl w:ilvl="0">
      <w:lvlJc w:val="left"/>
      <w:lvlText w:val="•"/>
      <w:numFmt w:val="bullet"/>
      <w:start w:val="1"/>
    </w:lvl>
  </w:abstractNum>
  <w:abstractNum w:abstractNumId="1">
    <w:nsid w:val="3D1B58BA"/>
    <w:multiLevelType w:val="hybridMultilevel"/>
    <w:lvl w:ilvl="0">
      <w:lvlJc w:val="left"/>
      <w:lvlText w:val="*"/>
      <w:numFmt w:val="bullet"/>
      <w:start w:val="1"/>
    </w:lvl>
  </w:abstractNum>
  <w:abstractNum w:abstractNumId="2">
    <w:nsid w:val="507ED7AB"/>
    <w:multiLevelType w:val="hybridMultilevel"/>
    <w:lvl w:ilvl="0">
      <w:lvlJc w:val="left"/>
      <w:lvlText w:val="%1."/>
      <w:numFmt w:val="decimal"/>
      <w:start w:val="1"/>
    </w:lvl>
  </w:abstractNum>
  <w:abstractNum w:abstractNumId="3">
    <w:nsid w:val="2EB141F2"/>
    <w:multiLevelType w:val="hybridMultilevel"/>
    <w:lvl w:ilvl="0">
      <w:lvlJc w:val="left"/>
      <w:lvlText w:val="%1."/>
      <w:numFmt w:val="decimal"/>
      <w:start w:val="2"/>
    </w:lvl>
  </w:abstractNum>
  <w:abstractNum w:abstractNumId="4">
    <w:nsid w:val="41B71EFB"/>
    <w:multiLevelType w:val="hybridMultilevel"/>
    <w:lvl w:ilvl="0">
      <w:lvlJc w:val="left"/>
      <w:lvlText w:val="%1."/>
      <w:numFmt w:val="decimal"/>
      <w:start w:val="3"/>
    </w:lvl>
  </w:abstractNum>
  <w:abstractNum w:abstractNumId="5">
    <w:nsid w:val="79E2A9E3"/>
    <w:multiLevelType w:val="hybridMultilevel"/>
    <w:lvl w:ilvl="0">
      <w:lvlJc w:val="left"/>
      <w:lvlText w:val="%1."/>
      <w:numFmt w:val="decimal"/>
      <w:start w:val="4"/>
    </w:lvl>
  </w:abstractNum>
  <w:abstractNum w:abstractNumId="6">
    <w:nsid w:val="7545E146"/>
    <w:multiLevelType w:val="hybridMultilevel"/>
    <w:lvl w:ilvl="0">
      <w:lvlJc w:val="left"/>
      <w:lvlText w:val="%1."/>
      <w:numFmt w:val="decimal"/>
      <w:start w:val="5"/>
    </w:lvl>
  </w:abstractNum>
  <w:abstractNum w:abstractNumId="7">
    <w:nsid w:val="515F007C"/>
    <w:multiLevelType w:val="hybridMultilevel"/>
    <w:lvl w:ilvl="0">
      <w:lvlJc w:val="left"/>
      <w:lvlText w:val="%1."/>
      <w:numFmt w:val="decimal"/>
      <w:start w:val="6"/>
    </w:lvl>
  </w:abstractNum>
  <w:abstractNum w:abstractNumId="8">
    <w:nsid w:val="5BD062C2"/>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32" Type="http://schemas.openxmlformats.org/officeDocument/2006/relationships/image" Target="media/image10.png"/><Relationship Id="rId40" Type="http://schemas.openxmlformats.org/officeDocument/2006/relationships/image" Target="media/image11.png"/><Relationship Id="rId41" Type="http://schemas.openxmlformats.org/officeDocument/2006/relationships/image" Target="media/image12.png"/><Relationship Id="rId42" Type="http://schemas.openxmlformats.org/officeDocument/2006/relationships/image" Target="media/image13.png"/><Relationship Id="rId43" Type="http://schemas.openxmlformats.org/officeDocument/2006/relationships/image" Target="media/image14.jpeg"/><Relationship Id="rId44" Type="http://schemas.openxmlformats.org/officeDocument/2006/relationships/image" Target="media/image15.png"/><Relationship Id="rId45" Type="http://schemas.openxmlformats.org/officeDocument/2006/relationships/image" Target="media/image16.jpeg"/><Relationship Id="rId46" Type="http://schemas.openxmlformats.org/officeDocument/2006/relationships/image" Target="media/image17.png"/><Relationship Id="rId17" Type="http://schemas.openxmlformats.org/officeDocument/2006/relationships/hyperlink" Target="http://www.sec.gov/Archives/edgar/data/1305253/000119312514028615/d627202ds8.htm" TargetMode="External"/><Relationship Id="rId18" Type="http://schemas.openxmlformats.org/officeDocument/2006/relationships/hyperlink" Target="http://www.sec.gov/Archives/edgar/data/1305253/000119312515114433/d899428ds8.htm" TargetMode="External"/><Relationship Id="rId19" Type="http://schemas.openxmlformats.org/officeDocument/2006/relationships/hyperlink" Target="http://www.sec.gov/Archives/edgar/data/1305253/000119312516569242/d178599ds8.htm" TargetMode="External"/><Relationship Id="rId20" Type="http://schemas.openxmlformats.org/officeDocument/2006/relationships/hyperlink" Target="http://www.sec.gov/Archives/edgar/data/1305253/000119312517256102/d438527ds8.htm" TargetMode="External"/><Relationship Id="rId21" Type="http://schemas.openxmlformats.org/officeDocument/2006/relationships/hyperlink" Target="http://www.sec.gov/Archives/edgar/data/1305253/000119312518160910/d586721ds8.htm" TargetMode="External"/><Relationship Id="rId22" Type="http://schemas.openxmlformats.org/officeDocument/2006/relationships/hyperlink" Target="http://www.sec.gov/Archives/edgar/data/1305253/000119312519074970/d689742ds8.htm" TargetMode="External"/><Relationship Id="rId23" Type="http://schemas.openxmlformats.org/officeDocument/2006/relationships/hyperlink" Target="http://www.sec.gov/Archives/edgar/data/1305253/000119312520072874/d859211ds8.htm" TargetMode="External"/><Relationship Id="rId24" Type="http://schemas.openxmlformats.org/officeDocument/2006/relationships/hyperlink" Target="http://www.sec.gov/Archives/edgar/data/1305253/000119312521074930/d149755ds8.htm" TargetMode="External"/><Relationship Id="rId25" Type="http://schemas.openxmlformats.org/officeDocument/2006/relationships/hyperlink" Target="http://www.sec.gov/Archives/edgar/data/1305253/000119312522072160/d197801ds8.htm" TargetMode="External"/><Relationship Id="rId26" Type="http://schemas.openxmlformats.org/officeDocument/2006/relationships/hyperlink" Target="http://www.sec.gov/Archives/edgar/data/1305253/000119312521237875/d206194ds8.htm" TargetMode="External"/><Relationship Id="rId27" Type="http://schemas.openxmlformats.org/officeDocument/2006/relationships/hyperlink" Target="http://www.sec.gov/ix?doc=/Archives/edgar/data/1305253/000130525323000005/eigr-20221231.htm" TargetMode="External"/><Relationship Id="rId28" Type="http://schemas.openxmlformats.org/officeDocument/2006/relationships/hyperlink" Target="http://www.sec.gov/ix?doc=/Archives/edgar/data/1305253/000119312523004823/d435156d8k.htm" TargetMode="External"/><Relationship Id="rId29" Type="http://schemas.openxmlformats.org/officeDocument/2006/relationships/hyperlink" Target="http://www.sec.gov/ix?doc=/Archives/edgar/data/1305253/000119312523005589/d367122d8k.htm" TargetMode="External"/><Relationship Id="rId30" Type="http://schemas.openxmlformats.org/officeDocument/2006/relationships/hyperlink" Target="http://www.sec.gov/ix?doc=/Archives/edgar/data/1305253/000119312523032696/d413348d8k.htm" TargetMode="External"/><Relationship Id="rId31" Type="http://schemas.openxmlformats.org/officeDocument/2006/relationships/hyperlink" Target="http://www.sec.gov/Archives/edgar/data/1305253/000119312513432849/d623742d8a12b.htm" TargetMode="External"/><Relationship Id="rId33" Type="http://schemas.openxmlformats.org/officeDocument/2006/relationships/hyperlink" Target="http://www.sec.gov/Archives/edgar/data/1305253/000119312514043152/d674123dex31.htm" TargetMode="External"/><Relationship Id="rId34" Type="http://schemas.openxmlformats.org/officeDocument/2006/relationships/hyperlink" Target="http://www.sec.gov/Archives/edgar/data/1305253/000119312514043152/d674123dex32.htm" TargetMode="External"/><Relationship Id="rId35" Type="http://schemas.openxmlformats.org/officeDocument/2006/relationships/hyperlink" Target="http://www.sec.gov/Archives/edgar/data/1305253/000119312516514051/d156666dex31.htm" TargetMode="External"/><Relationship Id="rId36" Type="http://schemas.openxmlformats.org/officeDocument/2006/relationships/hyperlink" Target="http://www.sec.gov/Archives/edgar/data/1305253/000119312516514051/d156666dex32.htm" TargetMode="External"/><Relationship Id="rId37" Type="http://schemas.openxmlformats.org/officeDocument/2006/relationships/hyperlink" Target="http://www.sec.gov/Archives/edgar/data/1305253/000119312513414057/d578642dex41.htm" TargetMode="External"/><Relationship Id="rId38" Type="http://schemas.openxmlformats.org/officeDocument/2006/relationships/hyperlink" Target="http://www.sec.gov/Archives/edgar/data/1305253/000156459016028120/eigr-ex102_216.htm" TargetMode="External"/><Relationship Id="rId39" Type="http://schemas.openxmlformats.org/officeDocument/2006/relationships/hyperlink" Target="http://www.sec.gov/Archives/edgar/data/1305253/000156459016028120/eigr-ex101_217.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2023-03-17T15:33:35Z</dcterms:created>
  <dcterms:modified xsi:type="dcterms:W3CDTF">2023-03-17T15:33:35Z</dcterms:modified>
</cp:coreProperties>
</file>