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jc w:val="left"/>
        <w:rPr/>
      </w:pPr>
      <w:r>
        <w:rPr/>
      </w:r>
    </w:p>
    <w:p>
      <w:pPr>
        <w:sectPr>
          <w:type w:val="nextPage"/>
          <w:pgSz w:w="11906" w:h="16838"/>
          <w:pgMar w:left="1134" w:right="567" w:gutter="0" w:header="0" w:top="567" w:footer="0" w:bottom="567"/>
          <w:pgNumType w:fmt="decimal"/>
          <w:formProt w:val="false"/>
          <w:textDirection w:val="lrTb"/>
          <w:docGrid w:type="default" w:linePitch="600" w:charSpace="32768"/>
        </w:sectPr>
      </w:pPr>
    </w:p>
    <w:p>
      <w:pPr>
        <w:pStyle w:val="TextBody"/>
        <w:bidi w:val="0"/>
        <w:spacing w:before="0" w:after="2"/>
        <w:jc w:val="left"/>
        <w:rPr/>
      </w:pPr>
      <w:r>
        <w:rPr/>
      </w:r>
    </w:p>
    <w:tbl>
      <w:tblPr>
        <w:tblW w:w="387" w:type="dxa"/>
        <w:jc w:val="center"/>
        <w:tblInd w:w="0" w:type="dxa"/>
        <w:tblLayout w:type="fixed"/>
        <w:tblCellMar>
          <w:top w:w="28" w:type="dxa"/>
          <w:left w:w="28" w:type="dxa"/>
          <w:bottom w:w="28" w:type="dxa"/>
          <w:right w:w="28" w:type="dxa"/>
        </w:tblCellMar>
      </w:tblPr>
      <w:tblGrid>
        <w:gridCol w:w="124"/>
        <w:gridCol w:w="109"/>
        <w:gridCol w:w="154"/>
      </w:tblGrid>
      <w:tr>
        <w:trPr/>
        <w:tc>
          <w:tcPr>
            <w:tcW w:w="124"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154" w:type="dxa"/>
            <w:tcBorders/>
            <w:vAlign w:val="center"/>
          </w:tcPr>
          <w:p>
            <w:pPr>
              <w:pStyle w:val="TableContents"/>
              <w:bidi w:val="0"/>
              <w:spacing w:before="0" w:after="283"/>
              <w:jc w:val="left"/>
              <w:rPr>
                <w:sz w:val="4"/>
                <w:szCs w:val="4"/>
              </w:rPr>
            </w:pPr>
            <w:r>
              <w:rPr>
                <w:sz w:val="4"/>
                <w:szCs w:val="4"/>
              </w:rPr>
            </w:r>
          </w:p>
        </w:tc>
      </w:tr>
      <w:tr>
        <w:trPr/>
        <w:tc>
          <w:tcPr>
            <w:tcW w:w="387" w:type="dxa"/>
            <w:gridSpan w:val="3"/>
            <w:tcBorders>
              <w:bottom w:val="double" w:sz="8" w:space="0" w:color="000000"/>
            </w:tcBorders>
            <w:tcMar>
              <w:top w:w="0" w:type="dxa"/>
              <w:left w:w="0" w:type="dxa"/>
              <w:right w:w="0" w:type="dxa"/>
            </w:tcMar>
            <w:vAlign w:val="center"/>
          </w:tcPr>
          <w:p>
            <w:pPr>
              <w:pStyle w:val="TableContents"/>
              <w:bidi w:val="0"/>
              <w:spacing w:before="0" w:after="283"/>
              <w:jc w:val="left"/>
              <w:rPr>
                <w:sz w:val="4"/>
                <w:szCs w:val="4"/>
              </w:rPr>
            </w:pPr>
            <w:r>
              <w:rPr>
                <w:sz w:val="4"/>
                <w:szCs w:val="4"/>
              </w:rPr>
            </w:r>
          </w:p>
        </w:tc>
      </w:tr>
    </w:tbl>
    <w:p>
      <w:pPr>
        <w:pStyle w:val="TextBody"/>
        <w:bidi w:val="0"/>
        <w:spacing w:lineRule="auto" w:line="288" w:before="120" w:after="283"/>
        <w:jc w:val="center"/>
        <w:rPr>
          <w:rFonts w:ascii="Times New Roman;sans-serif" w:hAnsi="Times New Roman;sans-serif"/>
          <w:b/>
          <w:color w:val="000000"/>
          <w:sz w:val="36"/>
        </w:rPr>
      </w:pPr>
      <w:r>
        <w:rPr>
          <w:rFonts w:ascii="Times New Roman;sans-serif" w:hAnsi="Times New Roman;sans-serif"/>
          <w:b/>
          <w:color w:val="000000"/>
          <w:sz w:val="36"/>
        </w:rPr>
        <w:t>UNITED STATES</w:t>
      </w:r>
    </w:p>
    <w:p>
      <w:pPr>
        <w:pStyle w:val="TextBody"/>
        <w:bidi w:val="0"/>
        <w:spacing w:lineRule="auto" w:line="288" w:before="0" w:after="0"/>
        <w:jc w:val="center"/>
        <w:rPr>
          <w:rFonts w:ascii="Times New Roman;sans-serif" w:hAnsi="Times New Roman;sans-serif"/>
          <w:b/>
          <w:color w:val="000000"/>
          <w:sz w:val="36"/>
        </w:rPr>
      </w:pPr>
      <w:r>
        <w:rPr>
          <w:rFonts w:ascii="Times New Roman;sans-serif" w:hAnsi="Times New Roman;sans-serif"/>
          <w:b/>
          <w:color w:val="000000"/>
          <w:sz w:val="36"/>
        </w:rPr>
        <w:t>SECURITIES AND EXCHANGE COMMISSION</w:t>
      </w:r>
    </w:p>
    <w:p>
      <w:pPr>
        <w:pStyle w:val="TextBody"/>
        <w:bidi w:val="0"/>
        <w:spacing w:lineRule="auto" w:line="288" w:before="0" w:after="0"/>
        <w:jc w:val="center"/>
        <w:rPr>
          <w:rFonts w:ascii="Times New Roman;sans-serif" w:hAnsi="Times New Roman;sans-serif"/>
          <w:b/>
          <w:color w:val="000000"/>
          <w:sz w:val="24"/>
        </w:rPr>
      </w:pPr>
      <w:r>
        <w:rPr>
          <w:rFonts w:ascii="Times New Roman;sans-serif" w:hAnsi="Times New Roman;sans-serif"/>
          <w:b/>
          <w:color w:val="000000"/>
          <w:sz w:val="24"/>
        </w:rPr>
        <w:t>Washington, D.C. 20549</w:t>
      </w:r>
    </w:p>
    <w:p>
      <w:pPr>
        <w:pStyle w:val="TextBody"/>
        <w:bidi w:val="0"/>
        <w:spacing w:lineRule="auto" w:line="288" w:before="120" w:after="283"/>
        <w:jc w:val="center"/>
        <w:rPr>
          <w:rFonts w:ascii="Times New Roman;sans-serif" w:hAnsi="Times New Roman;sans-serif"/>
          <w:b w:val="false"/>
          <w:color w:val="000000"/>
          <w:sz w:val="12"/>
        </w:rPr>
      </w:pPr>
      <w:r>
        <w:rPr>
          <w:rFonts w:ascii="Times New Roman;sans-serif" w:hAnsi="Times New Roman;sans-serif"/>
          <w:b w:val="false"/>
          <w:color w:val="000000"/>
          <w:sz w:val="12"/>
        </w:rPr>
        <w:t>_________________________________________________</w:t>
      </w:r>
    </w:p>
    <w:p>
      <w:pPr>
        <w:pStyle w:val="TextBody"/>
        <w:bidi w:val="0"/>
        <w:spacing w:lineRule="auto" w:line="288" w:before="120" w:after="283"/>
        <w:jc w:val="center"/>
        <w:rPr>
          <w:rFonts w:ascii="Times New Roman;sans-serif" w:hAnsi="Times New Roman;sans-serif"/>
          <w:b/>
          <w:color w:val="000000"/>
          <w:sz w:val="36"/>
        </w:rPr>
      </w:pPr>
      <w:r>
        <w:rPr>
          <w:rFonts w:ascii="Times New Roman;sans-serif" w:hAnsi="Times New Roman;sans-serif"/>
          <w:b/>
          <w:color w:val="000000"/>
          <w:sz w:val="36"/>
        </w:rPr>
        <w:t>FORM 8-K</w:t>
      </w:r>
    </w:p>
    <w:p>
      <w:pPr>
        <w:pStyle w:val="TextBody"/>
        <w:bidi w:val="0"/>
        <w:spacing w:lineRule="auto" w:line="288" w:before="0" w:after="0"/>
        <w:jc w:val="center"/>
        <w:rPr>
          <w:rFonts w:ascii="Times New Roman;sans-serif" w:hAnsi="Times New Roman;sans-serif"/>
          <w:b w:val="false"/>
          <w:color w:val="000000"/>
          <w:sz w:val="12"/>
        </w:rPr>
      </w:pPr>
      <w:r>
        <w:rPr>
          <w:rFonts w:ascii="Times New Roman;sans-serif" w:hAnsi="Times New Roman;sans-serif"/>
          <w:b w:val="false"/>
          <w:color w:val="000000"/>
          <w:sz w:val="12"/>
        </w:rPr>
        <w:t>_________________________________________________</w:t>
      </w:r>
    </w:p>
    <w:p>
      <w:pPr>
        <w:pStyle w:val="TextBody"/>
        <w:bidi w:val="0"/>
        <w:spacing w:lineRule="auto" w:line="288" w:before="120" w:after="283"/>
        <w:jc w:val="center"/>
        <w:rPr>
          <w:rFonts w:ascii="Times New Roman;sans-serif" w:hAnsi="Times New Roman;sans-serif"/>
          <w:b/>
          <w:color w:val="000000"/>
          <w:sz w:val="24"/>
        </w:rPr>
      </w:pPr>
      <w:r>
        <w:rPr>
          <w:rFonts w:ascii="Times New Roman;sans-serif" w:hAnsi="Times New Roman;sans-serif"/>
          <w:b/>
          <w:color w:val="000000"/>
          <w:sz w:val="24"/>
        </w:rPr>
        <w:t>CURRENT REPORT</w:t>
      </w:r>
    </w:p>
    <w:p>
      <w:pPr>
        <w:pStyle w:val="TextBody"/>
        <w:bidi w:val="0"/>
        <w:spacing w:lineRule="auto" w:line="288" w:before="0" w:after="0"/>
        <w:jc w:val="center"/>
        <w:rPr>
          <w:rFonts w:ascii="Times New Roman;sans-serif" w:hAnsi="Times New Roman;sans-serif"/>
          <w:b/>
          <w:color w:val="000000"/>
          <w:sz w:val="24"/>
        </w:rPr>
      </w:pPr>
      <w:r>
        <w:rPr>
          <w:rFonts w:ascii="Times New Roman;sans-serif" w:hAnsi="Times New Roman;sans-serif"/>
          <w:b/>
          <w:color w:val="000000"/>
          <w:sz w:val="24"/>
        </w:rPr>
        <w:t>Pursuant to Section 13 or 15(d)</w:t>
      </w:r>
    </w:p>
    <w:p>
      <w:pPr>
        <w:pStyle w:val="TextBody"/>
        <w:bidi w:val="0"/>
        <w:spacing w:lineRule="auto" w:line="288" w:before="0" w:after="0"/>
        <w:jc w:val="center"/>
        <w:rPr>
          <w:rFonts w:ascii="Times New Roman;sans-serif" w:hAnsi="Times New Roman;sans-serif"/>
          <w:b/>
          <w:color w:val="000000"/>
          <w:sz w:val="24"/>
        </w:rPr>
      </w:pPr>
      <w:r>
        <w:rPr>
          <w:rFonts w:ascii="Times New Roman;sans-serif" w:hAnsi="Times New Roman;sans-serif"/>
          <w:b/>
          <w:color w:val="000000"/>
          <w:sz w:val="24"/>
        </w:rPr>
        <w:t>of the Securities Exchange Act of 1934</w:t>
      </w:r>
    </w:p>
    <w:p>
      <w:pPr>
        <w:pStyle w:val="TextBody"/>
        <w:bidi w:val="0"/>
        <w:spacing w:lineRule="auto" w:line="288" w:before="120" w:after="283"/>
        <w:jc w:val="center"/>
        <w:rPr>
          <w:rFonts w:ascii="Times New Roman;sans-serif" w:hAnsi="Times New Roman;sans-serif"/>
          <w:b/>
          <w:color w:val="000000"/>
          <w:sz w:val="24"/>
        </w:rPr>
      </w:pPr>
      <w:r>
        <w:rPr>
          <w:rFonts w:ascii="Times New Roman;sans-serif" w:hAnsi="Times New Roman;sans-serif"/>
          <w:b/>
          <w:color w:val="000000"/>
          <w:sz w:val="24"/>
        </w:rPr>
        <w:t>Date of Report (Date of earliest event reported): May 11, 2023</w:t>
      </w:r>
    </w:p>
    <w:p>
      <w:pPr>
        <w:pStyle w:val="TextBody"/>
        <w:bidi w:val="0"/>
        <w:spacing w:lineRule="auto" w:line="288" w:before="120" w:after="283"/>
        <w:jc w:val="center"/>
        <w:rPr>
          <w:rFonts w:ascii="Times New Roman;sans-serif" w:hAnsi="Times New Roman;sans-serif"/>
          <w:b w:val="false"/>
          <w:color w:val="000000"/>
          <w:sz w:val="12"/>
        </w:rPr>
      </w:pPr>
      <w:r>
        <w:rPr>
          <w:rFonts w:ascii="Times New Roman;sans-serif" w:hAnsi="Times New Roman;sans-serif"/>
          <w:b w:val="false"/>
          <w:color w:val="000000"/>
          <w:sz w:val="12"/>
        </w:rPr>
        <w:t>_________________________________________________</w:t>
      </w:r>
    </w:p>
    <w:p>
      <w:pPr>
        <w:pStyle w:val="TextBody"/>
        <w:bidi w:val="0"/>
        <w:spacing w:lineRule="auto" w:line="288" w:before="120" w:after="283"/>
        <w:jc w:val="center"/>
        <w:rPr>
          <w:rFonts w:ascii="Times New Roman;sans-serif" w:hAnsi="Times New Roman;sans-serif"/>
          <w:b/>
          <w:color w:val="000000"/>
          <w:sz w:val="48"/>
        </w:rPr>
      </w:pPr>
      <w:r>
        <w:rPr>
          <w:rFonts w:ascii="Times New Roman;sans-serif" w:hAnsi="Times New Roman;sans-serif"/>
          <w:b/>
          <w:color w:val="000000"/>
          <w:sz w:val="48"/>
        </w:rPr>
        <w:t>EIGER BIOPHARMACEUTICALS, INC.</w:t>
      </w:r>
    </w:p>
    <w:p>
      <w:pPr>
        <w:pStyle w:val="TextBody"/>
        <w:bidi w:val="0"/>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(Exact name of registrant as specified in its charter)</w:t>
      </w:r>
    </w:p>
    <w:p>
      <w:pPr>
        <w:pStyle w:val="TextBody"/>
        <w:bidi w:val="0"/>
        <w:spacing w:lineRule="auto" w:line="288" w:before="0" w:after="0"/>
        <w:jc w:val="center"/>
        <w:rPr>
          <w:rFonts w:ascii="Times New Roman;sans-serif" w:hAnsi="Times New Roman;sans-serif"/>
          <w:b w:val="false"/>
          <w:color w:val="000000"/>
          <w:sz w:val="12"/>
        </w:rPr>
      </w:pPr>
      <w:r>
        <w:rPr>
          <w:rFonts w:ascii="Times New Roman;sans-serif" w:hAnsi="Times New Roman;sans-serif"/>
          <w:b w:val="false"/>
          <w:color w:val="000000"/>
          <w:sz w:val="12"/>
        </w:rPr>
        <w:t>_________________________________________________</w:t>
      </w:r>
    </w:p>
    <w:tbl>
      <w:tblPr>
        <w:tblW w:w="4617" w:type="dxa"/>
        <w:jc w:val="left"/>
        <w:tblInd w:w="0" w:type="dxa"/>
        <w:tblLayout w:type="fixed"/>
        <w:tblCellMar>
          <w:top w:w="28" w:type="dxa"/>
          <w:left w:w="28" w:type="dxa"/>
          <w:bottom w:w="28" w:type="dxa"/>
          <w:right w:w="28" w:type="dxa"/>
        </w:tblCellMar>
      </w:tblPr>
      <w:tblGrid>
        <w:gridCol w:w="748"/>
        <w:gridCol w:w="656"/>
        <w:gridCol w:w="665"/>
        <w:gridCol w:w="353"/>
        <w:gridCol w:w="353"/>
        <w:gridCol w:w="358"/>
        <w:gridCol w:w="433"/>
        <w:gridCol w:w="433"/>
        <w:gridCol w:w="618"/>
      </w:tblGrid>
      <w:tr>
        <w:trPr/>
        <w:tc>
          <w:tcPr>
            <w:tcW w:w="748" w:type="dxa"/>
            <w:tcBorders/>
            <w:vAlign w:val="center"/>
          </w:tcPr>
          <w:p>
            <w:pPr>
              <w:pStyle w:val="TableContents"/>
              <w:bidi w:val="0"/>
              <w:spacing w:before="0" w:after="283"/>
              <w:jc w:val="left"/>
              <w:rPr>
                <w:sz w:val="4"/>
                <w:szCs w:val="4"/>
              </w:rPr>
            </w:pPr>
            <w:r>
              <w:rPr>
                <w:sz w:val="4"/>
                <w:szCs w:val="4"/>
              </w:rPr>
            </w:r>
          </w:p>
        </w:tc>
        <w:tc>
          <w:tcPr>
            <w:tcW w:w="656" w:type="dxa"/>
            <w:tcBorders/>
            <w:vAlign w:val="center"/>
          </w:tcPr>
          <w:p>
            <w:pPr>
              <w:pStyle w:val="TableContents"/>
              <w:bidi w:val="0"/>
              <w:spacing w:before="0" w:after="283"/>
              <w:jc w:val="left"/>
              <w:rPr>
                <w:sz w:val="4"/>
                <w:szCs w:val="4"/>
              </w:rPr>
            </w:pPr>
            <w:r>
              <w:rPr>
                <w:sz w:val="4"/>
                <w:szCs w:val="4"/>
              </w:rPr>
            </w:r>
          </w:p>
        </w:tc>
        <w:tc>
          <w:tcPr>
            <w:tcW w:w="665" w:type="dxa"/>
            <w:tcBorders/>
            <w:vAlign w:val="center"/>
          </w:tcPr>
          <w:p>
            <w:pPr>
              <w:pStyle w:val="TableContents"/>
              <w:bidi w:val="0"/>
              <w:spacing w:before="0" w:after="283"/>
              <w:jc w:val="left"/>
              <w:rPr>
                <w:sz w:val="4"/>
                <w:szCs w:val="4"/>
              </w:rPr>
            </w:pPr>
            <w:r>
              <w:rPr>
                <w:sz w:val="4"/>
                <w:szCs w:val="4"/>
              </w:rPr>
            </w:r>
          </w:p>
        </w:tc>
        <w:tc>
          <w:tcPr>
            <w:tcW w:w="353" w:type="dxa"/>
            <w:tcBorders/>
            <w:vAlign w:val="center"/>
          </w:tcPr>
          <w:p>
            <w:pPr>
              <w:pStyle w:val="TableContents"/>
              <w:bidi w:val="0"/>
              <w:spacing w:before="0" w:after="283"/>
              <w:jc w:val="left"/>
              <w:rPr>
                <w:sz w:val="4"/>
                <w:szCs w:val="4"/>
              </w:rPr>
            </w:pPr>
            <w:r>
              <w:rPr>
                <w:sz w:val="4"/>
                <w:szCs w:val="4"/>
              </w:rPr>
            </w:r>
          </w:p>
        </w:tc>
        <w:tc>
          <w:tcPr>
            <w:tcW w:w="353" w:type="dxa"/>
            <w:tcBorders/>
            <w:vAlign w:val="center"/>
          </w:tcPr>
          <w:p>
            <w:pPr>
              <w:pStyle w:val="TableContents"/>
              <w:bidi w:val="0"/>
              <w:spacing w:before="0" w:after="283"/>
              <w:jc w:val="left"/>
              <w:rPr>
                <w:sz w:val="4"/>
                <w:szCs w:val="4"/>
              </w:rPr>
            </w:pPr>
            <w:r>
              <w:rPr>
                <w:sz w:val="4"/>
                <w:szCs w:val="4"/>
              </w:rPr>
            </w:r>
          </w:p>
        </w:tc>
        <w:tc>
          <w:tcPr>
            <w:tcW w:w="358" w:type="dxa"/>
            <w:tcBorders/>
            <w:vAlign w:val="center"/>
          </w:tcPr>
          <w:p>
            <w:pPr>
              <w:pStyle w:val="TableContents"/>
              <w:bidi w:val="0"/>
              <w:spacing w:before="0" w:after="283"/>
              <w:jc w:val="left"/>
              <w:rPr>
                <w:sz w:val="4"/>
                <w:szCs w:val="4"/>
              </w:rPr>
            </w:pPr>
            <w:r>
              <w:rPr>
                <w:sz w:val="4"/>
                <w:szCs w:val="4"/>
              </w:rPr>
            </w:r>
          </w:p>
        </w:tc>
        <w:tc>
          <w:tcPr>
            <w:tcW w:w="433" w:type="dxa"/>
            <w:tcBorders/>
            <w:vAlign w:val="center"/>
          </w:tcPr>
          <w:p>
            <w:pPr>
              <w:pStyle w:val="TableContents"/>
              <w:bidi w:val="0"/>
              <w:spacing w:before="0" w:after="283"/>
              <w:jc w:val="left"/>
              <w:rPr>
                <w:sz w:val="4"/>
                <w:szCs w:val="4"/>
              </w:rPr>
            </w:pPr>
            <w:r>
              <w:rPr>
                <w:sz w:val="4"/>
                <w:szCs w:val="4"/>
              </w:rPr>
            </w:r>
          </w:p>
        </w:tc>
        <w:tc>
          <w:tcPr>
            <w:tcW w:w="433" w:type="dxa"/>
            <w:tcBorders/>
            <w:vAlign w:val="center"/>
          </w:tcPr>
          <w:p>
            <w:pPr>
              <w:pStyle w:val="TableContents"/>
              <w:bidi w:val="0"/>
              <w:spacing w:before="0" w:after="283"/>
              <w:jc w:val="left"/>
              <w:rPr>
                <w:sz w:val="4"/>
                <w:szCs w:val="4"/>
              </w:rPr>
            </w:pPr>
            <w:r>
              <w:rPr>
                <w:sz w:val="4"/>
                <w:szCs w:val="4"/>
              </w:rPr>
            </w:r>
          </w:p>
        </w:tc>
        <w:tc>
          <w:tcPr>
            <w:tcW w:w="618" w:type="dxa"/>
            <w:tcBorders/>
            <w:vAlign w:val="center"/>
          </w:tcPr>
          <w:p>
            <w:pPr>
              <w:pStyle w:val="TableContents"/>
              <w:bidi w:val="0"/>
              <w:spacing w:before="0" w:after="283"/>
              <w:jc w:val="left"/>
              <w:rPr>
                <w:sz w:val="4"/>
                <w:szCs w:val="4"/>
              </w:rPr>
            </w:pPr>
            <w:r>
              <w:rPr>
                <w:sz w:val="4"/>
                <w:szCs w:val="4"/>
              </w:rPr>
            </w:r>
          </w:p>
        </w:tc>
      </w:tr>
      <w:tr>
        <w:trPr/>
        <w:tc>
          <w:tcPr>
            <w:tcW w:w="2069" w:type="dxa"/>
            <w:gridSpan w:val="3"/>
            <w:tcBorders/>
            <w:tcMar>
              <w:top w:w="0" w:type="dxa"/>
              <w:left w:w="0" w:type="dxa"/>
              <w:bottom w:w="0" w:type="dxa"/>
              <w:right w:w="0" w:type="dxa"/>
            </w:tcMar>
            <w:vAlign w:val="center"/>
          </w:tcPr>
          <w:p>
            <w:pPr>
              <w:pStyle w:val="TableContents"/>
              <w:bidi w:val="0"/>
              <w:spacing w:lineRule="auto" w:line="300" w:before="0" w:after="283"/>
              <w:jc w:val="center"/>
              <w:rPr>
                <w:rFonts w:ascii="Times New Roman;sans-serif" w:hAnsi="Times New Roman;sans-serif"/>
                <w:b/>
                <w:color w:val="000000"/>
                <w:sz w:val="20"/>
              </w:rPr>
            </w:pPr>
            <w:r>
              <w:rPr>
                <w:rFonts w:ascii="Times New Roman;sans-serif" w:hAnsi="Times New Roman;sans-serif"/>
                <w:b/>
                <w:color w:val="000000"/>
                <w:sz w:val="20"/>
              </w:rPr>
              <w:t>Delaware</w:t>
            </w:r>
          </w:p>
        </w:tc>
        <w:tc>
          <w:tcPr>
            <w:tcW w:w="1064" w:type="dxa"/>
            <w:gridSpan w:val="3"/>
            <w:tcBorders/>
            <w:tcMar>
              <w:top w:w="0" w:type="dxa"/>
              <w:left w:w="0" w:type="dxa"/>
              <w:bottom w:w="0" w:type="dxa"/>
              <w:right w:w="0" w:type="dxa"/>
            </w:tcMar>
            <w:vAlign w:val="center"/>
          </w:tcPr>
          <w:p>
            <w:pPr>
              <w:pStyle w:val="TableContents"/>
              <w:bidi w:val="0"/>
              <w:spacing w:lineRule="auto" w:line="300" w:before="0" w:after="283"/>
              <w:jc w:val="center"/>
              <w:rPr>
                <w:rFonts w:ascii="Times New Roman;sans-serif" w:hAnsi="Times New Roman;sans-serif"/>
                <w:b/>
                <w:color w:val="000000"/>
                <w:sz w:val="20"/>
              </w:rPr>
            </w:pPr>
            <w:r>
              <w:rPr>
                <w:rFonts w:ascii="Times New Roman;sans-serif" w:hAnsi="Times New Roman;sans-serif"/>
                <w:b/>
                <w:color w:val="000000"/>
                <w:sz w:val="20"/>
              </w:rPr>
              <w:t>001-36183</w:t>
            </w:r>
          </w:p>
        </w:tc>
        <w:tc>
          <w:tcPr>
            <w:tcW w:w="1484" w:type="dxa"/>
            <w:gridSpan w:val="3"/>
            <w:tcBorders/>
            <w:tcMar>
              <w:top w:w="0" w:type="dxa"/>
              <w:left w:w="0" w:type="dxa"/>
              <w:bottom w:w="0" w:type="dxa"/>
              <w:right w:w="0" w:type="dxa"/>
            </w:tcMar>
            <w:vAlign w:val="center"/>
          </w:tcPr>
          <w:p>
            <w:pPr>
              <w:pStyle w:val="TableContents"/>
              <w:bidi w:val="0"/>
              <w:spacing w:lineRule="auto" w:line="300" w:before="0" w:after="283"/>
              <w:jc w:val="center"/>
              <w:rPr>
                <w:rFonts w:ascii="Times New Roman;sans-serif" w:hAnsi="Times New Roman;sans-serif"/>
                <w:b/>
                <w:color w:val="000000"/>
                <w:sz w:val="20"/>
              </w:rPr>
            </w:pPr>
            <w:r>
              <w:rPr>
                <w:rFonts w:ascii="Times New Roman;sans-serif" w:hAnsi="Times New Roman;sans-serif"/>
                <w:b/>
                <w:color w:val="000000"/>
                <w:sz w:val="20"/>
              </w:rPr>
              <w:t>33-0971591</w:t>
            </w:r>
          </w:p>
        </w:tc>
      </w:tr>
      <w:tr>
        <w:trPr/>
        <w:tc>
          <w:tcPr>
            <w:tcW w:w="2069" w:type="dxa"/>
            <w:gridSpan w:val="3"/>
            <w:tcBorders/>
            <w:tcMar>
              <w:top w:w="0" w:type="dxa"/>
              <w:left w:w="0" w:type="dxa"/>
              <w:bottom w:w="0" w:type="dxa"/>
              <w:right w:w="0" w:type="dxa"/>
            </w:tcMar>
            <w:vAlign w:val="center"/>
          </w:tcPr>
          <w:p>
            <w:pPr>
              <w:pStyle w:val="TableContents"/>
              <w:bidi w:val="0"/>
              <w:spacing w:lineRule="auto" w:line="240" w:before="0" w:after="0"/>
              <w:jc w:val="center"/>
              <w:rPr>
                <w:rFonts w:ascii="Times New Roman;sans-serif" w:hAnsi="Times New Roman;sans-serif"/>
                <w:b/>
                <w:color w:val="000000"/>
                <w:sz w:val="16"/>
              </w:rPr>
            </w:pPr>
            <w:r>
              <w:rPr>
                <w:rFonts w:ascii="Times New Roman;sans-serif" w:hAnsi="Times New Roman;sans-serif"/>
                <w:b/>
                <w:color w:val="000000"/>
                <w:sz w:val="16"/>
              </w:rPr>
              <w:t>(State or other jurisdiction</w:t>
            </w:r>
          </w:p>
          <w:p>
            <w:pPr>
              <w:pStyle w:val="TableContents"/>
              <w:bidi w:val="0"/>
              <w:spacing w:lineRule="auto" w:line="240" w:before="0" w:after="20"/>
              <w:jc w:val="center"/>
              <w:rPr>
                <w:rFonts w:ascii="Times New Roman;sans-serif" w:hAnsi="Times New Roman;sans-serif"/>
                <w:b/>
                <w:color w:val="000000"/>
                <w:sz w:val="16"/>
              </w:rPr>
            </w:pPr>
            <w:r>
              <w:rPr>
                <w:rFonts w:ascii="Times New Roman;sans-serif" w:hAnsi="Times New Roman;sans-serif"/>
                <w:b/>
                <w:color w:val="000000"/>
                <w:sz w:val="16"/>
              </w:rPr>
              <w:t>of incorporation)</w:t>
            </w:r>
          </w:p>
        </w:tc>
        <w:tc>
          <w:tcPr>
            <w:tcW w:w="1064" w:type="dxa"/>
            <w:gridSpan w:val="3"/>
            <w:tcBorders/>
            <w:tcMar>
              <w:top w:w="0" w:type="dxa"/>
              <w:left w:w="0" w:type="dxa"/>
              <w:bottom w:w="0" w:type="dxa"/>
              <w:right w:w="0" w:type="dxa"/>
            </w:tcMar>
            <w:vAlign w:val="center"/>
          </w:tcPr>
          <w:p>
            <w:pPr>
              <w:pStyle w:val="TableContents"/>
              <w:bidi w:val="0"/>
              <w:spacing w:lineRule="auto" w:line="240" w:before="0" w:after="0"/>
              <w:jc w:val="center"/>
              <w:rPr>
                <w:rFonts w:ascii="Times New Roman;sans-serif" w:hAnsi="Times New Roman;sans-serif"/>
                <w:b/>
                <w:color w:val="000000"/>
                <w:sz w:val="16"/>
              </w:rPr>
            </w:pPr>
            <w:r>
              <w:rPr>
                <w:rFonts w:ascii="Times New Roman;sans-serif" w:hAnsi="Times New Roman;sans-serif"/>
                <w:b/>
                <w:color w:val="000000"/>
                <w:sz w:val="16"/>
              </w:rPr>
              <w:t>(Commission</w:t>
            </w:r>
          </w:p>
          <w:p>
            <w:pPr>
              <w:pStyle w:val="TableContents"/>
              <w:bidi w:val="0"/>
              <w:spacing w:lineRule="auto" w:line="240" w:before="0" w:after="20"/>
              <w:jc w:val="center"/>
              <w:rPr>
                <w:rFonts w:ascii="Times New Roman;sans-serif" w:hAnsi="Times New Roman;sans-serif"/>
                <w:b/>
                <w:color w:val="000000"/>
                <w:sz w:val="16"/>
              </w:rPr>
            </w:pPr>
            <w:r>
              <w:rPr>
                <w:rFonts w:ascii="Times New Roman;sans-serif" w:hAnsi="Times New Roman;sans-serif"/>
                <w:b/>
                <w:color w:val="000000"/>
                <w:sz w:val="16"/>
              </w:rPr>
              <w:t>File Number)</w:t>
            </w:r>
          </w:p>
        </w:tc>
        <w:tc>
          <w:tcPr>
            <w:tcW w:w="1484" w:type="dxa"/>
            <w:gridSpan w:val="3"/>
            <w:tcBorders/>
            <w:tcMar>
              <w:top w:w="0" w:type="dxa"/>
              <w:left w:w="0" w:type="dxa"/>
              <w:bottom w:w="0" w:type="dxa"/>
              <w:right w:w="0" w:type="dxa"/>
            </w:tcMar>
            <w:vAlign w:val="center"/>
          </w:tcPr>
          <w:p>
            <w:pPr>
              <w:pStyle w:val="TableContents"/>
              <w:bidi w:val="0"/>
              <w:spacing w:lineRule="auto" w:line="240" w:before="0" w:after="0"/>
              <w:jc w:val="center"/>
              <w:rPr>
                <w:rFonts w:ascii="Times New Roman;sans-serif" w:hAnsi="Times New Roman;sans-serif"/>
                <w:b/>
                <w:color w:val="000000"/>
                <w:sz w:val="16"/>
              </w:rPr>
            </w:pPr>
            <w:r>
              <w:rPr>
                <w:rFonts w:ascii="Times New Roman;sans-serif" w:hAnsi="Times New Roman;sans-serif"/>
                <w:b/>
                <w:color w:val="000000"/>
                <w:sz w:val="16"/>
              </w:rPr>
              <w:t>(IRS Employer</w:t>
            </w:r>
          </w:p>
          <w:p>
            <w:pPr>
              <w:pStyle w:val="TableContents"/>
              <w:bidi w:val="0"/>
              <w:spacing w:lineRule="auto" w:line="240" w:before="0" w:after="20"/>
              <w:jc w:val="center"/>
              <w:rPr>
                <w:rFonts w:ascii="Times New Roman;sans-serif" w:hAnsi="Times New Roman;sans-serif"/>
                <w:b/>
                <w:color w:val="000000"/>
                <w:sz w:val="16"/>
              </w:rPr>
            </w:pPr>
            <w:r>
              <w:rPr>
                <w:rFonts w:ascii="Times New Roman;sans-serif" w:hAnsi="Times New Roman;sans-serif"/>
                <w:b/>
                <w:color w:val="000000"/>
                <w:sz w:val="16"/>
              </w:rPr>
              <w:t>Identification No.)</w:t>
            </w:r>
          </w:p>
        </w:tc>
      </w:tr>
    </w:tbl>
    <w:p>
      <w:pPr>
        <w:pStyle w:val="TextBody"/>
        <w:bidi w:val="0"/>
        <w:spacing w:lineRule="auto" w:line="288" w:before="120" w:after="283"/>
        <w:jc w:val="center"/>
        <w:rPr>
          <w:rFonts w:ascii="Times New Roman;sans-serif" w:hAnsi="Times New Roman;sans-serif"/>
          <w:b/>
          <w:color w:val="000000"/>
          <w:sz w:val="20"/>
        </w:rPr>
      </w:pPr>
      <w:r>
        <w:rPr>
          <w:rFonts w:ascii="Times New Roman;sans-serif" w:hAnsi="Times New Roman;sans-serif"/>
          <w:b/>
          <w:color w:val="000000"/>
          <w:sz w:val="20"/>
        </w:rPr>
        <w:t>Eiger BioPharmaceuticals, Inc.</w:t>
      </w:r>
    </w:p>
    <w:p>
      <w:pPr>
        <w:pStyle w:val="TextBody"/>
        <w:bidi w:val="0"/>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2155 Park Blvd.</w:t>
      </w:r>
    </w:p>
    <w:p>
      <w:pPr>
        <w:pStyle w:val="TextBody"/>
        <w:bidi w:val="0"/>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Palo Alto, California 94306</w:t>
      </w:r>
    </w:p>
    <w:p>
      <w:pPr>
        <w:pStyle w:val="TextBody"/>
        <w:bidi w:val="0"/>
        <w:spacing w:lineRule="auto" w:line="288" w:before="0" w:after="0"/>
        <w:jc w:val="center"/>
        <w:rPr>
          <w:rFonts w:ascii="Times New Roman;sans-serif" w:hAnsi="Times New Roman;sans-serif"/>
          <w:b/>
          <w:color w:val="000000"/>
          <w:sz w:val="16"/>
        </w:rPr>
      </w:pPr>
      <w:r>
        <w:rPr>
          <w:rFonts w:ascii="Times New Roman;sans-serif" w:hAnsi="Times New Roman;sans-serif"/>
          <w:b/>
          <w:color w:val="000000"/>
          <w:sz w:val="16"/>
        </w:rPr>
        <w:t>(Address of principal executive offices, including zip code)</w:t>
      </w:r>
    </w:p>
    <w:p>
      <w:pPr>
        <w:pStyle w:val="TextBody"/>
        <w:bidi w:val="0"/>
        <w:spacing w:lineRule="auto" w:line="288" w:before="120" w:after="283"/>
        <w:jc w:val="center"/>
        <w:rPr>
          <w:rFonts w:ascii="Times New Roman;sans-serif" w:hAnsi="Times New Roman;sans-serif"/>
          <w:b/>
          <w:color w:val="000000"/>
          <w:sz w:val="20"/>
        </w:rPr>
      </w:pPr>
      <w:r>
        <w:rPr>
          <w:rFonts w:ascii="Times New Roman;sans-serif" w:hAnsi="Times New Roman;sans-serif"/>
          <w:b/>
          <w:color w:val="000000"/>
          <w:sz w:val="20"/>
        </w:rPr>
        <w:t>(650) 272-6138</w:t>
      </w:r>
    </w:p>
    <w:p>
      <w:pPr>
        <w:pStyle w:val="TextBody"/>
        <w:bidi w:val="0"/>
        <w:spacing w:lineRule="auto" w:line="288" w:before="0" w:after="0"/>
        <w:jc w:val="center"/>
        <w:rPr>
          <w:rFonts w:ascii="Times New Roman;sans-serif" w:hAnsi="Times New Roman;sans-serif"/>
          <w:b/>
          <w:color w:val="000000"/>
          <w:sz w:val="16"/>
        </w:rPr>
      </w:pPr>
      <w:r>
        <w:rPr>
          <w:rFonts w:ascii="Times New Roman;sans-serif" w:hAnsi="Times New Roman;sans-serif"/>
          <w:b/>
          <w:color w:val="000000"/>
          <w:sz w:val="16"/>
        </w:rPr>
        <w:t>(Registrant’s telephone number, including area code)</w:t>
      </w:r>
    </w:p>
    <w:p>
      <w:pPr>
        <w:pStyle w:val="TextBody"/>
        <w:bidi w:val="0"/>
        <w:spacing w:lineRule="auto" w:line="288" w:before="120" w:after="283"/>
        <w:jc w:val="center"/>
        <w:rPr>
          <w:rFonts w:ascii="Times New Roman;sans-serif" w:hAnsi="Times New Roman;sans-serif"/>
          <w:b/>
          <w:color w:val="000000"/>
          <w:sz w:val="20"/>
        </w:rPr>
      </w:pPr>
      <w:r>
        <w:rPr>
          <w:rFonts w:ascii="Times New Roman;sans-serif" w:hAnsi="Times New Roman;sans-serif"/>
          <w:b/>
          <w:color w:val="000000"/>
          <w:sz w:val="20"/>
        </w:rPr>
        <w:t>Not Applicable</w:t>
      </w:r>
    </w:p>
    <w:p>
      <w:pPr>
        <w:pStyle w:val="TextBody"/>
        <w:bidi w:val="0"/>
        <w:spacing w:lineRule="auto" w:line="288" w:before="0" w:after="0"/>
        <w:jc w:val="center"/>
        <w:rPr>
          <w:rFonts w:ascii="Times New Roman;sans-serif" w:hAnsi="Times New Roman;sans-serif"/>
          <w:b/>
          <w:color w:val="000000"/>
          <w:sz w:val="16"/>
        </w:rPr>
      </w:pPr>
      <w:r>
        <w:rPr>
          <w:rFonts w:ascii="Times New Roman;sans-serif" w:hAnsi="Times New Roman;sans-serif"/>
          <w:b/>
          <w:color w:val="000000"/>
          <w:sz w:val="16"/>
        </w:rPr>
        <w:t>(Former name or former address, if changed since last report.)</w:t>
      </w:r>
    </w:p>
    <w:p>
      <w:pPr>
        <w:pStyle w:val="TextBody"/>
        <w:bidi w:val="0"/>
        <w:spacing w:lineRule="auto" w:line="288" w:before="120" w:after="283"/>
        <w:jc w:val="center"/>
        <w:rPr>
          <w:rFonts w:ascii="Times New Roman;sans-serif" w:hAnsi="Times New Roman;sans-serif"/>
          <w:b w:val="false"/>
          <w:color w:val="000000"/>
          <w:sz w:val="12"/>
        </w:rPr>
      </w:pPr>
      <w:r>
        <w:rPr>
          <w:rFonts w:ascii="Times New Roman;sans-serif" w:hAnsi="Times New Roman;sans-serif"/>
          <w:b w:val="false"/>
          <w:color w:val="000000"/>
          <w:sz w:val="12"/>
        </w:rPr>
        <w:t>_________________________________________________</w:t>
      </w:r>
    </w:p>
    <w:p>
      <w:pPr>
        <w:pStyle w:val="TextBody"/>
        <w:bidi w:val="0"/>
        <w:spacing w:lineRule="auto" w:line="288" w:before="12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Check the appropriate box below if the Form 8-K filing is intended to simultaneously satisfy the filing obligation of the registrant under any of the following provisions:</w:t>
      </w:r>
    </w:p>
    <w:tbl>
      <w:tblPr>
        <w:tblW w:w="9522" w:type="dxa"/>
        <w:jc w:val="left"/>
        <w:tblInd w:w="0" w:type="dxa"/>
        <w:tblLayout w:type="fixed"/>
        <w:tblCellMar>
          <w:top w:w="28" w:type="dxa"/>
          <w:left w:w="28" w:type="dxa"/>
          <w:bottom w:w="28" w:type="dxa"/>
          <w:right w:w="28" w:type="dxa"/>
        </w:tblCellMar>
      </w:tblPr>
      <w:tblGrid>
        <w:gridCol w:w="124"/>
        <w:gridCol w:w="109"/>
        <w:gridCol w:w="109"/>
        <w:gridCol w:w="2685"/>
        <w:gridCol w:w="2685"/>
        <w:gridCol w:w="3810"/>
      </w:tblGrid>
      <w:tr>
        <w:trPr/>
        <w:tc>
          <w:tcPr>
            <w:tcW w:w="124"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2685" w:type="dxa"/>
            <w:tcBorders/>
            <w:vAlign w:val="center"/>
          </w:tcPr>
          <w:p>
            <w:pPr>
              <w:pStyle w:val="TableContents"/>
              <w:bidi w:val="0"/>
              <w:spacing w:before="0" w:after="283"/>
              <w:jc w:val="left"/>
              <w:rPr>
                <w:sz w:val="4"/>
                <w:szCs w:val="4"/>
              </w:rPr>
            </w:pPr>
            <w:r>
              <w:rPr>
                <w:sz w:val="4"/>
                <w:szCs w:val="4"/>
              </w:rPr>
            </w:r>
          </w:p>
        </w:tc>
        <w:tc>
          <w:tcPr>
            <w:tcW w:w="2685" w:type="dxa"/>
            <w:tcBorders/>
            <w:vAlign w:val="center"/>
          </w:tcPr>
          <w:p>
            <w:pPr>
              <w:pStyle w:val="TableContents"/>
              <w:bidi w:val="0"/>
              <w:spacing w:before="0" w:after="283"/>
              <w:jc w:val="left"/>
              <w:rPr>
                <w:sz w:val="4"/>
                <w:szCs w:val="4"/>
              </w:rPr>
            </w:pPr>
            <w:r>
              <w:rPr>
                <w:sz w:val="4"/>
                <w:szCs w:val="4"/>
              </w:rPr>
            </w:r>
          </w:p>
        </w:tc>
        <w:tc>
          <w:tcPr>
            <w:tcW w:w="3810" w:type="dxa"/>
            <w:tcBorders/>
            <w:vAlign w:val="center"/>
          </w:tcPr>
          <w:p>
            <w:pPr>
              <w:pStyle w:val="TableContents"/>
              <w:bidi w:val="0"/>
              <w:spacing w:before="0" w:after="283"/>
              <w:jc w:val="left"/>
              <w:rPr>
                <w:sz w:val="4"/>
                <w:szCs w:val="4"/>
              </w:rPr>
            </w:pPr>
            <w:r>
              <w:rPr>
                <w:sz w:val="4"/>
                <w:szCs w:val="4"/>
              </w:rPr>
            </w:r>
          </w:p>
        </w:tc>
      </w:tr>
      <w:tr>
        <w:trPr/>
        <w:tc>
          <w:tcPr>
            <w:tcW w:w="342" w:type="dxa"/>
            <w:gridSpan w:val="3"/>
            <w:tcBorders/>
            <w:tcMar>
              <w:top w:w="0" w:type="dxa"/>
              <w:left w:w="0" w:type="dxa"/>
              <w:bottom w:w="0" w:type="dxa"/>
              <w:right w:w="0" w:type="dxa"/>
            </w:tcMar>
            <w:vAlign w:val="center"/>
          </w:tcPr>
          <w:p>
            <w:pPr>
              <w:pStyle w:val="TableContents"/>
              <w:bidi w:val="0"/>
              <w:spacing w:lineRule="auto" w:line="300" w:before="0" w:after="283"/>
              <w:jc w:val="left"/>
              <w:rPr>
                <w:rFonts w:ascii="Wingdings;sans-serif" w:hAnsi="Wingdings;sans-serif"/>
                <w:b w:val="false"/>
                <w:color w:val="000000"/>
                <w:sz w:val="20"/>
              </w:rPr>
            </w:pPr>
            <w:r>
              <w:rPr>
                <w:rFonts w:ascii="Wingdings;sans-serif" w:hAnsi="Wingdings;sans-serif"/>
                <w:b w:val="false"/>
                <w:color w:val="000000"/>
                <w:sz w:val="20"/>
              </w:rPr>
              <w:t>o</w:t>
            </w:r>
          </w:p>
        </w:tc>
        <w:tc>
          <w:tcPr>
            <w:tcW w:w="9180" w:type="dxa"/>
            <w:gridSpan w:val="3"/>
            <w:tcBorders/>
            <w:tcMar>
              <w:top w:w="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Written communications pursuant to Rule 425 under the Securities Act (17 CFR 230.425)</w:t>
            </w:r>
          </w:p>
        </w:tc>
      </w:tr>
      <w:tr>
        <w:trPr/>
        <w:tc>
          <w:tcPr>
            <w:tcW w:w="342"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9180"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42" w:type="dxa"/>
            <w:gridSpan w:val="3"/>
            <w:tcBorders/>
            <w:tcMar>
              <w:top w:w="0" w:type="dxa"/>
              <w:left w:w="0" w:type="dxa"/>
              <w:bottom w:w="0" w:type="dxa"/>
              <w:right w:w="0" w:type="dxa"/>
            </w:tcMar>
            <w:vAlign w:val="center"/>
          </w:tcPr>
          <w:p>
            <w:pPr>
              <w:pStyle w:val="TableContents"/>
              <w:bidi w:val="0"/>
              <w:spacing w:lineRule="auto" w:line="300" w:before="0" w:after="283"/>
              <w:jc w:val="left"/>
              <w:rPr>
                <w:rFonts w:ascii="Wingdings;sans-serif" w:hAnsi="Wingdings;sans-serif"/>
                <w:b w:val="false"/>
                <w:color w:val="000000"/>
                <w:sz w:val="20"/>
              </w:rPr>
            </w:pPr>
            <w:r>
              <w:rPr>
                <w:rFonts w:ascii="Wingdings;sans-serif" w:hAnsi="Wingdings;sans-serif"/>
                <w:b w:val="false"/>
                <w:color w:val="000000"/>
                <w:sz w:val="20"/>
              </w:rPr>
              <w:t>o</w:t>
            </w:r>
          </w:p>
        </w:tc>
        <w:tc>
          <w:tcPr>
            <w:tcW w:w="9180" w:type="dxa"/>
            <w:gridSpan w:val="3"/>
            <w:tcBorders/>
            <w:tcMar>
              <w:top w:w="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Soliciting material pursuant to Rule 14a-12 under the Exchange Act (17 CFR 240.14a-12)</w:t>
            </w:r>
          </w:p>
        </w:tc>
      </w:tr>
      <w:tr>
        <w:trPr/>
        <w:tc>
          <w:tcPr>
            <w:tcW w:w="342"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9180"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42" w:type="dxa"/>
            <w:gridSpan w:val="3"/>
            <w:tcBorders/>
            <w:tcMar>
              <w:top w:w="0" w:type="dxa"/>
              <w:left w:w="0" w:type="dxa"/>
              <w:bottom w:w="0" w:type="dxa"/>
              <w:right w:w="0" w:type="dxa"/>
            </w:tcMar>
            <w:vAlign w:val="center"/>
          </w:tcPr>
          <w:p>
            <w:pPr>
              <w:pStyle w:val="TableContents"/>
              <w:bidi w:val="0"/>
              <w:spacing w:lineRule="auto" w:line="300" w:before="0" w:after="283"/>
              <w:jc w:val="left"/>
              <w:rPr>
                <w:rFonts w:ascii="Wingdings;sans-serif" w:hAnsi="Wingdings;sans-serif"/>
                <w:b w:val="false"/>
                <w:color w:val="000000"/>
                <w:sz w:val="20"/>
              </w:rPr>
            </w:pPr>
            <w:r>
              <w:rPr>
                <w:rFonts w:ascii="Wingdings;sans-serif" w:hAnsi="Wingdings;sans-serif"/>
                <w:b w:val="false"/>
                <w:color w:val="000000"/>
                <w:sz w:val="20"/>
              </w:rPr>
              <w:t>o</w:t>
            </w:r>
          </w:p>
        </w:tc>
        <w:tc>
          <w:tcPr>
            <w:tcW w:w="9180" w:type="dxa"/>
            <w:gridSpan w:val="3"/>
            <w:tcBorders/>
            <w:tcMar>
              <w:top w:w="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Pre-commencement communications pursuant to Rule 14d-2(b) under the Exchange Act (17 CFR 240.14d-2(b))</w:t>
            </w:r>
          </w:p>
        </w:tc>
      </w:tr>
      <w:tr>
        <w:trPr/>
        <w:tc>
          <w:tcPr>
            <w:tcW w:w="342"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9180"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42" w:type="dxa"/>
            <w:gridSpan w:val="3"/>
            <w:tcBorders/>
            <w:tcMar>
              <w:top w:w="0" w:type="dxa"/>
              <w:left w:w="0" w:type="dxa"/>
              <w:bottom w:w="0" w:type="dxa"/>
              <w:right w:w="0" w:type="dxa"/>
            </w:tcMar>
            <w:vAlign w:val="center"/>
          </w:tcPr>
          <w:p>
            <w:pPr>
              <w:pStyle w:val="TableContents"/>
              <w:bidi w:val="0"/>
              <w:spacing w:lineRule="auto" w:line="300" w:before="0" w:after="283"/>
              <w:jc w:val="left"/>
              <w:rPr>
                <w:rFonts w:ascii="Wingdings;sans-serif" w:hAnsi="Wingdings;sans-serif"/>
                <w:b w:val="false"/>
                <w:color w:val="000000"/>
                <w:sz w:val="20"/>
              </w:rPr>
            </w:pPr>
            <w:r>
              <w:rPr>
                <w:rFonts w:ascii="Wingdings;sans-serif" w:hAnsi="Wingdings;sans-serif"/>
                <w:b w:val="false"/>
                <w:color w:val="000000"/>
                <w:sz w:val="20"/>
              </w:rPr>
              <w:t>o</w:t>
            </w:r>
          </w:p>
        </w:tc>
        <w:tc>
          <w:tcPr>
            <w:tcW w:w="9180" w:type="dxa"/>
            <w:gridSpan w:val="3"/>
            <w:tcBorders/>
            <w:tcMar>
              <w:top w:w="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Pre-commencement communications pursuant to Rule 13e-4(c) under the Exchange Act (17 CFR 240.13e-4(c))</w:t>
            </w:r>
          </w:p>
        </w:tc>
      </w:tr>
    </w:tbl>
    <w:p>
      <w:pPr>
        <w:pStyle w:val="TextBody"/>
        <w:bidi w:val="0"/>
        <w:spacing w:lineRule="auto" w:line="288" w:before="12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Securities registered pursuant to Section 12(b) of the Act:</w:t>
      </w:r>
    </w:p>
    <w:tbl>
      <w:tblPr>
        <w:tblW w:w="7191" w:type="dxa"/>
        <w:jc w:val="left"/>
        <w:tblInd w:w="0" w:type="dxa"/>
        <w:tblLayout w:type="fixed"/>
        <w:tblCellMar>
          <w:top w:w="28" w:type="dxa"/>
          <w:left w:w="28" w:type="dxa"/>
          <w:bottom w:w="28" w:type="dxa"/>
          <w:right w:w="28" w:type="dxa"/>
        </w:tblCellMar>
      </w:tblPr>
      <w:tblGrid>
        <w:gridCol w:w="1057"/>
        <w:gridCol w:w="927"/>
        <w:gridCol w:w="940"/>
        <w:gridCol w:w="109"/>
        <w:gridCol w:w="109"/>
        <w:gridCol w:w="109"/>
        <w:gridCol w:w="274"/>
        <w:gridCol w:w="274"/>
        <w:gridCol w:w="276"/>
        <w:gridCol w:w="109"/>
        <w:gridCol w:w="109"/>
        <w:gridCol w:w="109"/>
        <w:gridCol w:w="816"/>
        <w:gridCol w:w="816"/>
        <w:gridCol w:w="1157"/>
      </w:tblGrid>
      <w:tr>
        <w:trPr/>
        <w:tc>
          <w:tcPr>
            <w:tcW w:w="1057" w:type="dxa"/>
            <w:tcBorders/>
            <w:vAlign w:val="center"/>
          </w:tcPr>
          <w:p>
            <w:pPr>
              <w:pStyle w:val="TableContents"/>
              <w:bidi w:val="0"/>
              <w:spacing w:before="0" w:after="283"/>
              <w:jc w:val="left"/>
              <w:rPr>
                <w:sz w:val="4"/>
                <w:szCs w:val="4"/>
              </w:rPr>
            </w:pPr>
            <w:r>
              <w:rPr>
                <w:sz w:val="4"/>
                <w:szCs w:val="4"/>
              </w:rPr>
            </w:r>
          </w:p>
        </w:tc>
        <w:tc>
          <w:tcPr>
            <w:tcW w:w="927" w:type="dxa"/>
            <w:tcBorders/>
            <w:vAlign w:val="center"/>
          </w:tcPr>
          <w:p>
            <w:pPr>
              <w:pStyle w:val="TableContents"/>
              <w:bidi w:val="0"/>
              <w:spacing w:before="0" w:after="283"/>
              <w:jc w:val="left"/>
              <w:rPr>
                <w:sz w:val="4"/>
                <w:szCs w:val="4"/>
              </w:rPr>
            </w:pPr>
            <w:r>
              <w:rPr>
                <w:sz w:val="4"/>
                <w:szCs w:val="4"/>
              </w:rPr>
            </w:r>
          </w:p>
        </w:tc>
        <w:tc>
          <w:tcPr>
            <w:tcW w:w="940"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274" w:type="dxa"/>
            <w:tcBorders/>
            <w:vAlign w:val="center"/>
          </w:tcPr>
          <w:p>
            <w:pPr>
              <w:pStyle w:val="TableContents"/>
              <w:bidi w:val="0"/>
              <w:spacing w:before="0" w:after="283"/>
              <w:jc w:val="left"/>
              <w:rPr>
                <w:sz w:val="4"/>
                <w:szCs w:val="4"/>
              </w:rPr>
            </w:pPr>
            <w:r>
              <w:rPr>
                <w:sz w:val="4"/>
                <w:szCs w:val="4"/>
              </w:rPr>
            </w:r>
          </w:p>
        </w:tc>
        <w:tc>
          <w:tcPr>
            <w:tcW w:w="274" w:type="dxa"/>
            <w:tcBorders/>
            <w:vAlign w:val="center"/>
          </w:tcPr>
          <w:p>
            <w:pPr>
              <w:pStyle w:val="TableContents"/>
              <w:bidi w:val="0"/>
              <w:spacing w:before="0" w:after="283"/>
              <w:jc w:val="left"/>
              <w:rPr>
                <w:sz w:val="4"/>
                <w:szCs w:val="4"/>
              </w:rPr>
            </w:pPr>
            <w:r>
              <w:rPr>
                <w:sz w:val="4"/>
                <w:szCs w:val="4"/>
              </w:rPr>
            </w:r>
          </w:p>
        </w:tc>
        <w:tc>
          <w:tcPr>
            <w:tcW w:w="276"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816" w:type="dxa"/>
            <w:tcBorders/>
            <w:vAlign w:val="center"/>
          </w:tcPr>
          <w:p>
            <w:pPr>
              <w:pStyle w:val="TableContents"/>
              <w:bidi w:val="0"/>
              <w:spacing w:before="0" w:after="283"/>
              <w:jc w:val="left"/>
              <w:rPr>
                <w:sz w:val="4"/>
                <w:szCs w:val="4"/>
              </w:rPr>
            </w:pPr>
            <w:r>
              <w:rPr>
                <w:sz w:val="4"/>
                <w:szCs w:val="4"/>
              </w:rPr>
            </w:r>
          </w:p>
        </w:tc>
        <w:tc>
          <w:tcPr>
            <w:tcW w:w="816" w:type="dxa"/>
            <w:tcBorders/>
            <w:vAlign w:val="center"/>
          </w:tcPr>
          <w:p>
            <w:pPr>
              <w:pStyle w:val="TableContents"/>
              <w:bidi w:val="0"/>
              <w:spacing w:before="0" w:after="283"/>
              <w:jc w:val="left"/>
              <w:rPr>
                <w:sz w:val="4"/>
                <w:szCs w:val="4"/>
              </w:rPr>
            </w:pPr>
            <w:r>
              <w:rPr>
                <w:sz w:val="4"/>
                <w:szCs w:val="4"/>
              </w:rPr>
            </w:r>
          </w:p>
        </w:tc>
        <w:tc>
          <w:tcPr>
            <w:tcW w:w="1157" w:type="dxa"/>
            <w:tcBorders/>
            <w:vAlign w:val="center"/>
          </w:tcPr>
          <w:p>
            <w:pPr>
              <w:pStyle w:val="TableContents"/>
              <w:bidi w:val="0"/>
              <w:spacing w:before="0" w:after="283"/>
              <w:jc w:val="left"/>
              <w:rPr>
                <w:sz w:val="4"/>
                <w:szCs w:val="4"/>
              </w:rPr>
            </w:pPr>
            <w:r>
              <w:rPr>
                <w:sz w:val="4"/>
                <w:szCs w:val="4"/>
              </w:rPr>
            </w:r>
          </w:p>
        </w:tc>
      </w:tr>
      <w:tr>
        <w:trPr/>
        <w:tc>
          <w:tcPr>
            <w:tcW w:w="2924" w:type="dxa"/>
            <w:gridSpan w:val="3"/>
            <w:tcBorders/>
            <w:tcMar>
              <w:top w:w="0" w:type="dxa"/>
              <w:left w:w="0" w:type="dxa"/>
              <w:bottom w:w="0" w:type="dxa"/>
              <w:right w:w="0" w:type="dxa"/>
            </w:tcMar>
            <w:vAlign w:val="center"/>
          </w:tcPr>
          <w:p>
            <w:pPr>
              <w:pStyle w:val="TableContents"/>
              <w:bidi w:val="0"/>
              <w:spacing w:lineRule="auto" w:line="300" w:before="0" w:after="283"/>
              <w:jc w:val="center"/>
              <w:rPr>
                <w:rFonts w:ascii="Times New Roman;sans-serif" w:hAnsi="Times New Roman;sans-serif"/>
                <w:b/>
                <w:color w:val="000000"/>
                <w:sz w:val="16"/>
              </w:rPr>
            </w:pPr>
            <w:r>
              <w:rPr>
                <w:rFonts w:ascii="Times New Roman;sans-serif" w:hAnsi="Times New Roman;sans-serif"/>
                <w:b/>
                <w:color w:val="000000"/>
                <w:sz w:val="16"/>
              </w:rPr>
              <w:t>Title of each class</w:t>
            </w:r>
          </w:p>
        </w:tc>
        <w:tc>
          <w:tcPr>
            <w:tcW w:w="327"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824" w:type="dxa"/>
            <w:gridSpan w:val="3"/>
            <w:tcBorders/>
            <w:tcMar>
              <w:top w:w="0" w:type="dxa"/>
              <w:left w:w="0" w:type="dxa"/>
              <w:bottom w:w="0" w:type="dxa"/>
              <w:right w:w="0" w:type="dxa"/>
            </w:tcMar>
            <w:vAlign w:val="center"/>
          </w:tcPr>
          <w:p>
            <w:pPr>
              <w:pStyle w:val="TableContents"/>
              <w:bidi w:val="0"/>
              <w:spacing w:lineRule="auto" w:line="240" w:before="0" w:after="0"/>
              <w:jc w:val="center"/>
              <w:rPr>
                <w:rFonts w:ascii="Times New Roman;sans-serif" w:hAnsi="Times New Roman;sans-serif"/>
                <w:b/>
                <w:color w:val="000000"/>
                <w:sz w:val="16"/>
              </w:rPr>
            </w:pPr>
            <w:r>
              <w:rPr>
                <w:rFonts w:ascii="Times New Roman;sans-serif" w:hAnsi="Times New Roman;sans-serif"/>
                <w:b/>
                <w:color w:val="000000"/>
                <w:sz w:val="16"/>
              </w:rPr>
              <w:t>Trading</w:t>
            </w:r>
          </w:p>
          <w:p>
            <w:pPr>
              <w:pStyle w:val="TableContents"/>
              <w:bidi w:val="0"/>
              <w:spacing w:lineRule="auto" w:line="240" w:before="0" w:after="20"/>
              <w:jc w:val="center"/>
              <w:rPr>
                <w:rFonts w:ascii="Times New Roman;sans-serif" w:hAnsi="Times New Roman;sans-serif"/>
                <w:b/>
                <w:color w:val="000000"/>
                <w:sz w:val="16"/>
              </w:rPr>
            </w:pPr>
            <w:r>
              <w:rPr>
                <w:rFonts w:ascii="Times New Roman;sans-serif" w:hAnsi="Times New Roman;sans-serif"/>
                <w:b/>
                <w:color w:val="000000"/>
                <w:sz w:val="16"/>
              </w:rPr>
              <w:t>Symbol(s)</w:t>
            </w:r>
          </w:p>
        </w:tc>
        <w:tc>
          <w:tcPr>
            <w:tcW w:w="327"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2789" w:type="dxa"/>
            <w:gridSpan w:val="3"/>
            <w:tcBorders/>
            <w:tcMar>
              <w:top w:w="0" w:type="dxa"/>
              <w:left w:w="0" w:type="dxa"/>
              <w:bottom w:w="0" w:type="dxa"/>
              <w:right w:w="0" w:type="dxa"/>
            </w:tcMar>
            <w:vAlign w:val="center"/>
          </w:tcPr>
          <w:p>
            <w:pPr>
              <w:pStyle w:val="TableContents"/>
              <w:bidi w:val="0"/>
              <w:spacing w:lineRule="auto" w:line="240" w:before="0" w:after="0"/>
              <w:jc w:val="center"/>
              <w:rPr>
                <w:rFonts w:ascii="Times New Roman;sans-serif" w:hAnsi="Times New Roman;sans-serif"/>
                <w:b/>
                <w:color w:val="000000"/>
                <w:sz w:val="16"/>
              </w:rPr>
            </w:pPr>
            <w:r>
              <w:rPr>
                <w:rFonts w:ascii="Times New Roman;sans-serif" w:hAnsi="Times New Roman;sans-serif"/>
                <w:b/>
                <w:color w:val="000000"/>
                <w:sz w:val="16"/>
              </w:rPr>
              <w:t>Name of each exchange</w:t>
            </w:r>
          </w:p>
          <w:p>
            <w:pPr>
              <w:pStyle w:val="TableContents"/>
              <w:bidi w:val="0"/>
              <w:spacing w:lineRule="auto" w:line="240" w:before="0" w:after="20"/>
              <w:jc w:val="center"/>
              <w:rPr>
                <w:rFonts w:ascii="Times New Roman;sans-serif" w:hAnsi="Times New Roman;sans-serif"/>
                <w:b/>
                <w:color w:val="000000"/>
                <w:sz w:val="16"/>
              </w:rPr>
            </w:pPr>
            <w:r>
              <w:rPr>
                <w:rFonts w:ascii="Times New Roman;sans-serif" w:hAnsi="Times New Roman;sans-serif"/>
                <w:b/>
                <w:color w:val="000000"/>
                <w:sz w:val="16"/>
              </w:rPr>
              <w:t>on which registered</w:t>
            </w:r>
          </w:p>
        </w:tc>
      </w:tr>
      <w:tr>
        <w:trPr/>
        <w:tc>
          <w:tcPr>
            <w:tcW w:w="2924" w:type="dxa"/>
            <w:gridSpan w:val="3"/>
            <w:tcBorders>
              <w:top w:val="single" w:sz="8" w:space="0" w:color="000000"/>
            </w:tcBorders>
            <w:tcMar>
              <w:top w:w="30" w:type="dxa"/>
              <w:left w:w="0" w:type="dxa"/>
              <w:bottom w:w="0" w:type="dxa"/>
              <w:right w:w="0" w:type="dxa"/>
            </w:tcMar>
            <w:vAlign w:val="center"/>
          </w:tcPr>
          <w:p>
            <w:pPr>
              <w:pStyle w:val="TableContents"/>
              <w:bidi w:val="0"/>
              <w:spacing w:lineRule="auto" w:line="300" w:before="0" w:after="283"/>
              <w:jc w:val="center"/>
              <w:rPr>
                <w:rFonts w:ascii="Times New Roman;sans-serif" w:hAnsi="Times New Roman;sans-serif"/>
                <w:b/>
                <w:color w:val="000000"/>
                <w:sz w:val="20"/>
              </w:rPr>
            </w:pPr>
            <w:r>
              <w:rPr>
                <w:rFonts w:ascii="Times New Roman;sans-serif" w:hAnsi="Times New Roman;sans-serif"/>
                <w:b/>
                <w:color w:val="000000"/>
                <w:sz w:val="20"/>
              </w:rPr>
              <w:t>Common Stock, par value $0.001</w:t>
            </w:r>
          </w:p>
        </w:tc>
        <w:tc>
          <w:tcPr>
            <w:tcW w:w="327"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824" w:type="dxa"/>
            <w:gridSpan w:val="3"/>
            <w:tcBorders>
              <w:top w:val="single" w:sz="8" w:space="0" w:color="000000"/>
            </w:tcBorders>
            <w:tcMar>
              <w:top w:w="30" w:type="dxa"/>
              <w:left w:w="0" w:type="dxa"/>
              <w:bottom w:w="0" w:type="dxa"/>
              <w:right w:w="0" w:type="dxa"/>
            </w:tcMar>
            <w:vAlign w:val="center"/>
          </w:tcPr>
          <w:p>
            <w:pPr>
              <w:pStyle w:val="TableContents"/>
              <w:bidi w:val="0"/>
              <w:spacing w:lineRule="auto" w:line="300" w:before="0" w:after="283"/>
              <w:jc w:val="center"/>
              <w:rPr>
                <w:rFonts w:ascii="Times New Roman;sans-serif" w:hAnsi="Times New Roman;sans-serif"/>
                <w:b/>
                <w:color w:val="000000"/>
                <w:sz w:val="20"/>
              </w:rPr>
            </w:pPr>
            <w:r>
              <w:rPr>
                <w:rFonts w:ascii="Times New Roman;sans-serif" w:hAnsi="Times New Roman;sans-serif"/>
                <w:b/>
                <w:color w:val="000000"/>
                <w:sz w:val="20"/>
              </w:rPr>
              <w:t>EIGR</w:t>
            </w:r>
          </w:p>
        </w:tc>
        <w:tc>
          <w:tcPr>
            <w:tcW w:w="327"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2789" w:type="dxa"/>
            <w:gridSpan w:val="3"/>
            <w:tcBorders>
              <w:top w:val="single" w:sz="8" w:space="0" w:color="000000"/>
            </w:tcBorders>
            <w:tcMar>
              <w:top w:w="30" w:type="dxa"/>
              <w:left w:w="0" w:type="dxa"/>
              <w:bottom w:w="0" w:type="dxa"/>
              <w:right w:w="0" w:type="dxa"/>
            </w:tcMar>
            <w:vAlign w:val="center"/>
          </w:tcPr>
          <w:p>
            <w:pPr>
              <w:pStyle w:val="TableContents"/>
              <w:bidi w:val="0"/>
              <w:spacing w:lineRule="auto" w:line="300" w:before="0" w:after="283"/>
              <w:jc w:val="center"/>
              <w:rPr>
                <w:rFonts w:ascii="Times New Roman;sans-serif" w:hAnsi="Times New Roman;sans-serif"/>
                <w:b/>
                <w:color w:val="000000"/>
                <w:sz w:val="20"/>
              </w:rPr>
            </w:pPr>
            <w:r>
              <w:rPr>
                <w:rFonts w:ascii="Times New Roman;sans-serif" w:hAnsi="Times New Roman;sans-serif"/>
                <w:b/>
                <w:color w:val="000000"/>
                <w:sz w:val="20"/>
              </w:rPr>
              <w:t>The Nasdaq Stock Market LLC</w:t>
            </w:r>
          </w:p>
        </w:tc>
      </w:tr>
    </w:tbl>
    <w:p>
      <w:pPr>
        <w:pStyle w:val="TextBody"/>
        <w:bidi w:val="0"/>
        <w:spacing w:lineRule="auto" w:line="288" w:before="12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Indicate by check mark whether the registrant is an emerging growth company as defined in Rule 405 of the Securities Act of 1933 (§230.405 of this chapter) or Rule 12b-2 of the Securities Exchange Act of 1934 (§240.12b-2 of this chapter).</w:t>
      </w:r>
    </w:p>
    <w:p>
      <w:pPr>
        <w:pStyle w:val="TextBody"/>
        <w:bidi w:val="0"/>
        <w:spacing w:lineRule="auto" w:line="288" w:before="120" w:after="283"/>
        <w:jc w:val="right"/>
        <w:rPr/>
      </w:pPr>
      <w:r>
        <w:rPr>
          <w:rFonts w:ascii="Times New Roman;sans-serif" w:hAnsi="Times New Roman;sans-serif"/>
          <w:b w:val="false"/>
          <w:color w:val="000000"/>
          <w:sz w:val="20"/>
        </w:rPr>
        <w:t>Emerging growth company </w:t>
      </w:r>
      <w:r>
        <w:rPr>
          <w:rFonts w:ascii="Wingdings;sans-serif" w:hAnsi="Wingdings;sans-serif"/>
          <w:b w:val="false"/>
          <w:color w:val="000000"/>
          <w:sz w:val="20"/>
        </w:rPr>
        <w:t>o</w:t>
      </w:r>
    </w:p>
    <w:p>
      <w:pPr>
        <w:pStyle w:val="TextBody"/>
        <w:bidi w:val="0"/>
        <w:spacing w:lineRule="auto" w:line="288" w:before="120" w:after="283"/>
        <w:jc w:val="left"/>
        <w:rPr/>
      </w:pPr>
      <w:r>
        <w:rPr>
          <w:rFonts w:ascii="Times New Roman;sans-serif" w:hAnsi="Times New Roman;sans-serif"/>
          <w:b w:val="false"/>
          <w:color w:val="000000"/>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sans-serif" w:hAnsi="Wingdings;sans-serif"/>
          <w:b w:val="false"/>
          <w:color w:val="000000"/>
          <w:sz w:val="20"/>
        </w:rPr>
        <w:t>o</w:t>
      </w:r>
    </w:p>
    <w:tbl>
      <w:tblPr>
        <w:tblW w:w="387" w:type="dxa"/>
        <w:jc w:val="left"/>
        <w:tblInd w:w="0" w:type="dxa"/>
        <w:tblLayout w:type="fixed"/>
        <w:tblCellMar>
          <w:top w:w="28" w:type="dxa"/>
          <w:left w:w="28" w:type="dxa"/>
          <w:bottom w:w="28" w:type="dxa"/>
          <w:right w:w="28" w:type="dxa"/>
        </w:tblCellMar>
      </w:tblPr>
      <w:tblGrid>
        <w:gridCol w:w="124"/>
        <w:gridCol w:w="109"/>
        <w:gridCol w:w="154"/>
      </w:tblGrid>
      <w:tr>
        <w:trPr/>
        <w:tc>
          <w:tcPr>
            <w:tcW w:w="124"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154" w:type="dxa"/>
            <w:tcBorders/>
            <w:vAlign w:val="center"/>
          </w:tcPr>
          <w:p>
            <w:pPr>
              <w:pStyle w:val="TableContents"/>
              <w:bidi w:val="0"/>
              <w:spacing w:before="0" w:after="283"/>
              <w:jc w:val="left"/>
              <w:rPr>
                <w:sz w:val="4"/>
                <w:szCs w:val="4"/>
              </w:rPr>
            </w:pPr>
            <w:r>
              <w:rPr>
                <w:sz w:val="4"/>
                <w:szCs w:val="4"/>
              </w:rPr>
            </w:r>
          </w:p>
        </w:tc>
      </w:tr>
      <w:tr>
        <w:trPr/>
        <w:tc>
          <w:tcPr>
            <w:tcW w:w="387" w:type="dxa"/>
            <w:gridSpan w:val="3"/>
            <w:tcBorders>
              <w:bottom w:val="double" w:sz="8" w:space="0" w:color="000000"/>
            </w:tcBorders>
            <w:tcMar>
              <w:top w:w="0" w:type="dxa"/>
              <w:left w:w="0" w:type="dxa"/>
              <w:right w:w="0" w:type="dxa"/>
            </w:tcMar>
            <w:vAlign w:val="center"/>
          </w:tcPr>
          <w:p>
            <w:pPr>
              <w:pStyle w:val="TableContents"/>
              <w:bidi w:val="0"/>
              <w:spacing w:before="0" w:after="283"/>
              <w:jc w:val="left"/>
              <w:rPr>
                <w:sz w:val="4"/>
                <w:szCs w:val="4"/>
              </w:rPr>
            </w:pPr>
            <w:r>
              <w:rPr>
                <w:sz w:val="4"/>
                <w:szCs w:val="4"/>
              </w:rPr>
            </w:r>
          </w:p>
        </w:tc>
      </w:tr>
    </w:tbl>
    <w:p>
      <w:pPr>
        <w:sectPr>
          <w:type w:val="continuous"/>
          <w:pgSz w:w="11906" w:h="16838"/>
          <w:pgMar w:left="1134" w:right="567" w:gutter="0" w:header="0" w:top="567" w:footer="0" w:bottom="567"/>
          <w:pgNumType w:fmt="decimal"/>
          <w:formProt w:val="false"/>
          <w:textDirection w:val="lrTb"/>
          <w:docGrid w:type="default" w:linePitch="600" w:charSpace="32768"/>
        </w:sectPr>
      </w:pPr>
    </w:p>
    <w:p>
      <w:pPr>
        <w:pStyle w:val="TextBody"/>
        <w:bidi w:val="0"/>
        <w:spacing w:before="0" w:after="283"/>
        <w:jc w:val="lef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HorizontalLine"/>
        <w:pBdr>
          <w:bottom w:val="double" w:sz="2" w:space="0" w:color="808080"/>
        </w:pBdr>
        <w:bidi w:val="0"/>
        <w:spacing w:before="0" w:after="283"/>
        <w:jc w:val="left"/>
        <w:rPr/>
      </w:pPr>
      <w:r>
        <w:rPr/>
      </w:r>
      <w:r>
        <mc:AlternateContent>
          <mc:Choice Requires="wps">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6480175" cy="175260"/>
                <wp:effectExtent l="0" t="0" r="0" b="0"/>
                <wp:wrapNone/>
                <wp:docPr id="1" name="Frame1"/>
                <a:graphic xmlns:a="http://schemas.openxmlformats.org/drawingml/2006/main">
                  <a:graphicData uri="http://schemas.microsoft.com/office/word/2010/wordprocessingShape">
                    <wps:wsp>
                      <wps:cNvSpPr txBox="1"/>
                      <wps:spPr>
                        <a:xfrm>
                          <a:off x="0" y="0"/>
                          <a:ext cx="6480175" cy="175260"/>
                        </a:xfrm>
                        <a:prstGeom prst="rect"/>
                        <a:solidFill>
                          <a:srgbClr val="FFFFFF"/>
                        </a:solidFill>
                      </wps:spPr>
                      <wps:txbx>
                        <w:txbxContent>
                          <w:p>
                            <w:pPr>
                              <w:pStyle w:val="TextBody"/>
                              <w:bidi w:val="0"/>
                              <w:spacing w:before="0" w:after="2"/>
                              <w:jc w:val="left"/>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
                        <w:jc w:val="left"/>
                        <w:rPr/>
                      </w:pPr>
                      <w:r>
                        <w:rPr/>
                      </w:r>
                    </w:p>
                  </w:txbxContent>
                </v:textbox>
                <w10:wrap type="none"/>
              </v:rect>
            </w:pict>
          </mc:Fallback>
        </mc:AlternateContent>
      </w:r>
    </w:p>
    <w:p>
      <w:pPr>
        <w:pStyle w:val="TextBody"/>
        <w:bidi w:val="0"/>
        <w:spacing w:before="0" w:after="2"/>
        <w:jc w:val="left"/>
        <w:rPr/>
      </w:pPr>
      <w:r>
        <w:rPr/>
      </w:r>
    </w:p>
    <w:p>
      <w:pPr>
        <w:pStyle w:val="TextBody"/>
        <w:bidi w:val="0"/>
        <w:spacing w:lineRule="auto" w:line="288" w:before="360" w:after="283"/>
        <w:jc w:val="left"/>
        <w:rPr/>
      </w:pPr>
      <w:r>
        <w:rPr>
          <w:rFonts w:ascii="Times New Roman;sans-serif" w:hAnsi="Times New Roman;sans-serif"/>
          <w:b/>
          <w:color w:val="000000"/>
          <w:sz w:val="20"/>
        </w:rPr>
        <w:t>Item 2.02.</w:t>
      </w:r>
      <w:r>
        <w:rPr>
          <w:color w:val="000000"/>
        </w:rPr>
        <w:t>    </w:t>
      </w:r>
      <w:r>
        <w:rPr>
          <w:rFonts w:ascii="Times New Roman;sans-serif" w:hAnsi="Times New Roman;sans-serif"/>
          <w:b/>
          <w:color w:val="000000"/>
          <w:sz w:val="20"/>
        </w:rPr>
        <w:t>Results of Operations and Financial Condition.</w:t>
      </w:r>
    </w:p>
    <w:p>
      <w:pPr>
        <w:pStyle w:val="TextBody"/>
        <w:bidi w:val="0"/>
        <w:spacing w:lineRule="auto" w:line="288" w:before="120" w:after="283"/>
        <w:jc w:val="left"/>
        <w:rPr>
          <w:rFonts w:ascii="Times New Roman;sans-serif" w:hAnsi="Times New Roman;sans-serif"/>
          <w:b w:val="false"/>
          <w:color w:val="000000"/>
          <w:sz w:val="20"/>
        </w:rPr>
      </w:pPr>
      <w:r>
        <w:rPr>
          <w:rFonts w:ascii="Times New Roman;sans-serif" w:hAnsi="Times New Roman;sans-serif"/>
          <w:b w:val="false"/>
          <w:color w:val="000000"/>
          <w:sz w:val="20"/>
        </w:rPr>
        <w:t>On May 11, 2023, Eiger BioPharmaceuticals, Inc. reported its financial results for the quarter ended March 31, 2023. A copy of the press release titled “Eiger BioPharmaceuticals Reports First Quarter 2023 Financial Results and Provides Business Update,” is furnished pursuant to Item 2.02 as Exhibit 99.1 hereto and is incorporated herein by reference.</w:t>
      </w:r>
    </w:p>
    <w:p>
      <w:pPr>
        <w:pStyle w:val="TextBody"/>
        <w:bidi w:val="0"/>
        <w:spacing w:lineRule="auto" w:line="288" w:before="24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The information in this Item 2.02 and in the press release attached as Exhibit 99.1 to this Current Report on Form 8-K shall not be deemed to be “filed” for purposes of Section 18 of the Securities Exchange Act of 1934, as amended, or otherwise subject to the liabilities of Section 11 and 12(a)(2) of the Securities Act of 1933, as amended. The information in this Item 2.02 and in the press release attached as Exhibit 99.1 to this Current Report on Form 8-K shall not be incorporated by reference into any filing with the U.S. Securities and Exchange Commission made by Eiger BioPharmaceuticals, Inc., whether made before or after the date hereof, regardless of any general incorporation language in such filing.</w:t>
      </w:r>
    </w:p>
    <w:p>
      <w:pPr>
        <w:sectPr>
          <w:type w:val="continuous"/>
          <w:pgSz w:w="11906" w:h="16838"/>
          <w:pgMar w:left="1134" w:right="567" w:gutter="0" w:header="0" w:top="567" w:footer="0" w:bottom="567"/>
          <w:pgNumType w:fmt="decimal"/>
          <w:formProt w:val="false"/>
          <w:textDirection w:val="lrTb"/>
          <w:docGrid w:type="default" w:linePitch="600" w:charSpace="32768"/>
        </w:sectPr>
      </w:pPr>
    </w:p>
    <w:p>
      <w:pPr>
        <w:pStyle w:val="TextBody"/>
        <w:bidi w:val="0"/>
        <w:spacing w:before="0" w:after="0"/>
        <w:jc w:val="lef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lineRule="auto" w:line="288" w:before="0" w:after="0"/>
        <w:jc w:val="left"/>
        <w:rPr/>
      </w:pPr>
      <w:r>
        <w:rPr>
          <w:rFonts w:ascii="Times New Roman;sans-serif" w:hAnsi="Times New Roman;sans-serif"/>
          <w:b/>
          <w:color w:val="000000"/>
          <w:sz w:val="20"/>
        </w:rPr>
        <w:t>Item 9.01.</w:t>
      </w:r>
      <w:r>
        <w:rPr>
          <w:color w:val="000000"/>
        </w:rPr>
        <w:t>    </w:t>
      </w:r>
      <w:r>
        <w:rPr>
          <w:rFonts w:ascii="Times New Roman;sans-serif" w:hAnsi="Times New Roman;sans-serif"/>
          <w:b/>
          <w:color w:val="000000"/>
          <w:sz w:val="20"/>
        </w:rPr>
        <w:t>Financial Statements and Exhibits.</w:t>
      </w:r>
    </w:p>
    <w:p>
      <w:pPr>
        <w:pStyle w:val="TextBody"/>
        <w:bidi w:val="0"/>
        <w:spacing w:lineRule="auto" w:line="288" w:before="120" w:after="283"/>
        <w:jc w:val="left"/>
        <w:rPr>
          <w:rFonts w:ascii="Times New Roman;sans-serif" w:hAnsi="Times New Roman;sans-serif"/>
          <w:b/>
          <w:color w:val="000000"/>
          <w:sz w:val="20"/>
        </w:rPr>
      </w:pPr>
      <w:r>
        <w:rPr>
          <w:rFonts w:ascii="Times New Roman;sans-serif" w:hAnsi="Times New Roman;sans-serif"/>
          <w:b/>
          <w:color w:val="000000"/>
          <w:sz w:val="20"/>
        </w:rPr>
        <w:t>(d) Exhibits.</w:t>
      </w:r>
    </w:p>
    <w:tbl>
      <w:tblPr>
        <w:tblW w:w="10205" w:type="dxa"/>
        <w:jc w:val="left"/>
        <w:tblInd w:w="0" w:type="dxa"/>
        <w:tblLayout w:type="fixed"/>
        <w:tblCellMar>
          <w:top w:w="28" w:type="dxa"/>
          <w:left w:w="28" w:type="dxa"/>
          <w:bottom w:w="28" w:type="dxa"/>
          <w:right w:w="28" w:type="dxa"/>
        </w:tblCellMar>
      </w:tblPr>
      <w:tblGrid>
        <w:gridCol w:w="234"/>
        <w:gridCol w:w="205"/>
        <w:gridCol w:w="207"/>
        <w:gridCol w:w="2790"/>
        <w:gridCol w:w="2790"/>
        <w:gridCol w:w="3979"/>
      </w:tblGrid>
      <w:tr>
        <w:trPr/>
        <w:tc>
          <w:tcPr>
            <w:tcW w:w="234" w:type="dxa"/>
            <w:tcBorders/>
            <w:vAlign w:val="center"/>
          </w:tcPr>
          <w:p>
            <w:pPr>
              <w:pStyle w:val="TableContents"/>
              <w:bidi w:val="0"/>
              <w:spacing w:before="0" w:after="283"/>
              <w:jc w:val="left"/>
              <w:rPr>
                <w:sz w:val="4"/>
                <w:szCs w:val="4"/>
              </w:rPr>
            </w:pPr>
            <w:r>
              <w:rPr>
                <w:sz w:val="4"/>
                <w:szCs w:val="4"/>
              </w:rPr>
            </w:r>
          </w:p>
        </w:tc>
        <w:tc>
          <w:tcPr>
            <w:tcW w:w="205" w:type="dxa"/>
            <w:tcBorders/>
            <w:vAlign w:val="center"/>
          </w:tcPr>
          <w:p>
            <w:pPr>
              <w:pStyle w:val="TableContents"/>
              <w:bidi w:val="0"/>
              <w:spacing w:before="0" w:after="283"/>
              <w:jc w:val="left"/>
              <w:rPr>
                <w:sz w:val="4"/>
                <w:szCs w:val="4"/>
              </w:rPr>
            </w:pPr>
            <w:r>
              <w:rPr>
                <w:sz w:val="4"/>
                <w:szCs w:val="4"/>
              </w:rPr>
            </w:r>
          </w:p>
        </w:tc>
        <w:tc>
          <w:tcPr>
            <w:tcW w:w="207" w:type="dxa"/>
            <w:tcBorders/>
            <w:vAlign w:val="center"/>
          </w:tcPr>
          <w:p>
            <w:pPr>
              <w:pStyle w:val="TableContents"/>
              <w:bidi w:val="0"/>
              <w:spacing w:before="0" w:after="283"/>
              <w:jc w:val="left"/>
              <w:rPr>
                <w:sz w:val="4"/>
                <w:szCs w:val="4"/>
              </w:rPr>
            </w:pPr>
            <w:r>
              <w:rPr>
                <w:sz w:val="4"/>
                <w:szCs w:val="4"/>
              </w:rPr>
            </w:r>
          </w:p>
        </w:tc>
        <w:tc>
          <w:tcPr>
            <w:tcW w:w="2790" w:type="dxa"/>
            <w:tcBorders/>
            <w:vAlign w:val="center"/>
          </w:tcPr>
          <w:p>
            <w:pPr>
              <w:pStyle w:val="TableContents"/>
              <w:bidi w:val="0"/>
              <w:spacing w:before="0" w:after="283"/>
              <w:jc w:val="left"/>
              <w:rPr>
                <w:sz w:val="4"/>
                <w:szCs w:val="4"/>
              </w:rPr>
            </w:pPr>
            <w:r>
              <w:rPr>
                <w:sz w:val="4"/>
                <w:szCs w:val="4"/>
              </w:rPr>
            </w:r>
          </w:p>
        </w:tc>
        <w:tc>
          <w:tcPr>
            <w:tcW w:w="2790" w:type="dxa"/>
            <w:tcBorders/>
            <w:vAlign w:val="center"/>
          </w:tcPr>
          <w:p>
            <w:pPr>
              <w:pStyle w:val="TableContents"/>
              <w:bidi w:val="0"/>
              <w:spacing w:before="0" w:after="283"/>
              <w:jc w:val="left"/>
              <w:rPr>
                <w:sz w:val="4"/>
                <w:szCs w:val="4"/>
              </w:rPr>
            </w:pPr>
            <w:r>
              <w:rPr>
                <w:sz w:val="4"/>
                <w:szCs w:val="4"/>
              </w:rPr>
            </w:r>
          </w:p>
        </w:tc>
        <w:tc>
          <w:tcPr>
            <w:tcW w:w="3979" w:type="dxa"/>
            <w:tcBorders/>
            <w:vAlign w:val="center"/>
          </w:tcPr>
          <w:p>
            <w:pPr>
              <w:pStyle w:val="TableContents"/>
              <w:bidi w:val="0"/>
              <w:spacing w:before="0" w:after="283"/>
              <w:jc w:val="left"/>
              <w:rPr>
                <w:sz w:val="4"/>
                <w:szCs w:val="4"/>
              </w:rPr>
            </w:pPr>
            <w:r>
              <w:rPr>
                <w:sz w:val="4"/>
                <w:szCs w:val="4"/>
              </w:rPr>
            </w:r>
          </w:p>
        </w:tc>
      </w:tr>
      <w:tr>
        <w:trPr/>
        <w:tc>
          <w:tcPr>
            <w:tcW w:w="646" w:type="dxa"/>
            <w:gridSpan w:val="3"/>
            <w:tcBorders/>
            <w:tcMar>
              <w:top w:w="0" w:type="dxa"/>
              <w:left w:w="0" w:type="dxa"/>
              <w:bottom w:w="0" w:type="dxa"/>
              <w:right w:w="0" w:type="dxa"/>
            </w:tcMar>
            <w:vAlign w:val="center"/>
          </w:tcPr>
          <w:p>
            <w:pPr>
              <w:pStyle w:val="TableContents"/>
              <w:bidi w:val="0"/>
              <w:spacing w:lineRule="auto" w:line="300" w:before="0" w:after="2"/>
              <w:jc w:val="center"/>
              <w:rPr>
                <w:rFonts w:ascii="Times New Roman;sans-serif" w:hAnsi="Times New Roman;sans-serif"/>
                <w:b/>
                <w:color w:val="000000"/>
                <w:sz w:val="16"/>
              </w:rPr>
            </w:pPr>
            <w:r>
              <w:rPr>
                <w:rFonts w:ascii="Times New Roman;sans-serif" w:hAnsi="Times New Roman;sans-serif"/>
                <w:b/>
                <w:color w:val="000000"/>
                <w:sz w:val="16"/>
              </w:rPr>
              <w:t>Exhibit</w:t>
            </w:r>
          </w:p>
          <w:p>
            <w:pPr>
              <w:pStyle w:val="TableContents"/>
              <w:bidi w:val="0"/>
              <w:spacing w:lineRule="auto" w:line="288" w:before="0" w:after="0"/>
              <w:jc w:val="center"/>
              <w:rPr>
                <w:rFonts w:ascii="Times New Roman;sans-serif" w:hAnsi="Times New Roman;sans-serif"/>
                <w:b/>
                <w:color w:val="000000"/>
                <w:sz w:val="16"/>
              </w:rPr>
            </w:pPr>
            <w:r>
              <w:rPr>
                <w:rFonts w:ascii="Times New Roman;sans-serif" w:hAnsi="Times New Roman;sans-serif"/>
                <w:b/>
                <w:color w:val="000000"/>
                <w:sz w:val="16"/>
              </w:rPr>
              <w:t>No.</w:t>
            </w:r>
          </w:p>
        </w:tc>
        <w:tc>
          <w:tcPr>
            <w:tcW w:w="9559" w:type="dxa"/>
            <w:gridSpan w:val="3"/>
            <w:tcBorders/>
            <w:tcMar>
              <w:top w:w="0" w:type="dxa"/>
              <w:left w:w="0" w:type="dxa"/>
              <w:bottom w:w="0" w:type="dxa"/>
              <w:right w:w="0" w:type="dxa"/>
            </w:tcMar>
            <w:vAlign w:val="center"/>
          </w:tcPr>
          <w:p>
            <w:pPr>
              <w:pStyle w:val="TableContents"/>
              <w:bidi w:val="0"/>
              <w:spacing w:lineRule="auto" w:line="300" w:before="0" w:after="283"/>
              <w:jc w:val="center"/>
              <w:rPr>
                <w:rFonts w:ascii="Times New Roman;sans-serif" w:hAnsi="Times New Roman;sans-serif"/>
                <w:b/>
                <w:color w:val="000000"/>
                <w:sz w:val="16"/>
              </w:rPr>
            </w:pPr>
            <w:r>
              <w:rPr>
                <w:rFonts w:ascii="Times New Roman;sans-serif" w:hAnsi="Times New Roman;sans-serif"/>
                <w:b/>
                <w:color w:val="000000"/>
                <w:sz w:val="16"/>
              </w:rPr>
              <w:t>Description</w:t>
            </w:r>
          </w:p>
        </w:tc>
      </w:tr>
      <w:tr>
        <w:trPr/>
        <w:tc>
          <w:tcPr>
            <w:tcW w:w="646" w:type="dxa"/>
            <w:gridSpan w:val="3"/>
            <w:tcBorders/>
            <w:tcMar>
              <w:top w:w="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99.1</w:t>
            </w:r>
          </w:p>
        </w:tc>
        <w:tc>
          <w:tcPr>
            <w:tcW w:w="9559" w:type="dxa"/>
            <w:gridSpan w:val="3"/>
            <w:tcBorders/>
            <w:tcMar>
              <w:top w:w="0" w:type="dxa"/>
              <w:left w:w="0" w:type="dxa"/>
              <w:bottom w:w="0" w:type="dxa"/>
              <w:right w:w="0" w:type="dxa"/>
            </w:tcMar>
            <w:vAlign w:val="center"/>
          </w:tcPr>
          <w:p>
            <w:pPr>
              <w:pStyle w:val="TableContents"/>
              <w:bidi w:val="0"/>
              <w:spacing w:lineRule="auto" w:line="240" w:before="0" w:after="0"/>
              <w:jc w:val="left"/>
              <w:rPr/>
            </w:pPr>
            <w:hyperlink w:anchor="eigr-2023_mayx11xexx991.htm">
              <w:r>
                <w:rPr>
                  <w:rStyle w:val="InternetLink"/>
                  <w:rFonts w:ascii="Times New Roman;sans-serif" w:hAnsi="Times New Roman;sans-serif"/>
                  <w:b w:val="false"/>
                  <w:color w:val="000080"/>
                  <w:sz w:val="20"/>
                  <w:u w:val="single"/>
                </w:rPr>
                <w:t xml:space="preserve">Press release, dated May </w:t>
              </w:r>
            </w:hyperlink>
            <w:hyperlink w:anchor="eigr-2023_mayx11xexx991.htm">
              <w:r>
                <w:rPr>
                  <w:rStyle w:val="InternetLink"/>
                  <w:rFonts w:ascii="Times New Roman;sans-serif" w:hAnsi="Times New Roman;sans-serif"/>
                  <w:b w:val="false"/>
                  <w:color w:val="000080"/>
                  <w:sz w:val="20"/>
                  <w:u w:val="single"/>
                </w:rPr>
                <w:t>11</w:t>
              </w:r>
            </w:hyperlink>
            <w:hyperlink w:anchor="eigr-2023_mayx11xexx991.htm">
              <w:r>
                <w:rPr>
                  <w:rStyle w:val="InternetLink"/>
                  <w:rFonts w:ascii="Times New Roman;sans-serif" w:hAnsi="Times New Roman;sans-serif"/>
                  <w:b w:val="false"/>
                  <w:color w:val="000080"/>
                  <w:sz w:val="20"/>
                  <w:u w:val="single"/>
                </w:rPr>
                <w:t>, 2023, titled “Eiger BioPharmaceuticals Reports First Quarter 2023 Financial Results and Provides Business Update</w:t>
              </w:r>
            </w:hyperlink>
            <w:hyperlink w:anchor="eigr-2023_mayx11xexx991.htm">
              <w:r>
                <w:rPr>
                  <w:rStyle w:val="InternetLink"/>
                  <w:rFonts w:ascii="Times New Roman;sans-serif" w:hAnsi="Times New Roman;sans-serif"/>
                  <w:b w:val="false"/>
                  <w:color w:val="000080"/>
                  <w:sz w:val="20"/>
                  <w:u w:val="single"/>
                </w:rPr>
                <w:t>”</w:t>
              </w:r>
            </w:hyperlink>
          </w:p>
        </w:tc>
      </w:tr>
      <w:tr>
        <w:trPr/>
        <w:tc>
          <w:tcPr>
            <w:tcW w:w="646" w:type="dxa"/>
            <w:gridSpan w:val="3"/>
            <w:tcBorders/>
            <w:tcMar>
              <w:top w:w="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104</w:t>
            </w:r>
          </w:p>
        </w:tc>
        <w:tc>
          <w:tcPr>
            <w:tcW w:w="9559" w:type="dxa"/>
            <w:gridSpan w:val="3"/>
            <w:tcBorders/>
            <w:tcMar>
              <w:top w:w="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Cover Page Interactive Data File (embedded within the Inline XBRL document).</w:t>
            </w:r>
          </w:p>
        </w:tc>
      </w:tr>
    </w:tbl>
    <w:p>
      <w:pPr>
        <w:sectPr>
          <w:type w:val="continuous"/>
          <w:pgSz w:w="11906" w:h="16838"/>
          <w:pgMar w:left="1134" w:right="567" w:gutter="0" w:header="0" w:top="567" w:footer="0" w:bottom="567"/>
          <w:pgNumType w:fmt="decimal"/>
          <w:formProt w:val="false"/>
          <w:textDirection w:val="lrTb"/>
          <w:docGrid w:type="default" w:linePitch="600" w:charSpace="32768"/>
        </w:sectPr>
      </w:pPr>
    </w:p>
    <w:p>
      <w:pPr>
        <w:pStyle w:val="TextBody"/>
        <w:bidi w:val="0"/>
        <w:spacing w:before="0" w:after="283"/>
        <w:jc w:val="lef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HorizontalLine"/>
        <w:pBdr>
          <w:bottom w:val="double" w:sz="2" w:space="0" w:color="808080"/>
        </w:pBdr>
        <w:bidi w:val="0"/>
        <w:spacing w:before="0" w:after="283"/>
        <w:jc w:val="left"/>
        <w:rPr/>
      </w:pPr>
      <w:r>
        <w:rPr/>
      </w:r>
      <w:r>
        <mc:AlternateContent>
          <mc:Choice Requires="wps">
            <w:drawing>
              <wp:anchor behindDoc="0" distT="0" distB="0" distL="0" distR="0" simplePos="0" locked="0" layoutInCell="1" allowOverlap="1" relativeHeight="5">
                <wp:simplePos x="0" y="0"/>
                <wp:positionH relativeFrom="character">
                  <wp:align>left</wp:align>
                </wp:positionH>
                <wp:positionV relativeFrom="line">
                  <wp:posOffset>635</wp:posOffset>
                </wp:positionV>
                <wp:extent cx="6480175" cy="175260"/>
                <wp:effectExtent l="0" t="0" r="0" b="0"/>
                <wp:wrapNone/>
                <wp:docPr id="2" name="Frame2"/>
                <a:graphic xmlns:a="http://schemas.openxmlformats.org/drawingml/2006/main">
                  <a:graphicData uri="http://schemas.microsoft.com/office/word/2010/wordprocessingShape">
                    <wps:wsp>
                      <wps:cNvSpPr txBox="1"/>
                      <wps:spPr>
                        <a:xfrm>
                          <a:off x="0" y="0"/>
                          <a:ext cx="6480175" cy="175260"/>
                        </a:xfrm>
                        <a:prstGeom prst="rect"/>
                        <a:solidFill>
                          <a:srgbClr val="FFFFFF"/>
                        </a:solidFill>
                      </wps:spPr>
                      <wps:txbx>
                        <w:txbxContent>
                          <w:p>
                            <w:pPr>
                              <w:pStyle w:val="TextBody"/>
                              <w:bidi w:val="0"/>
                              <w:spacing w:before="0" w:after="2"/>
                              <w:jc w:val="left"/>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
                        <w:jc w:val="left"/>
                        <w:rPr/>
                      </w:pPr>
                      <w:r>
                        <w:rPr/>
                      </w:r>
                    </w:p>
                  </w:txbxContent>
                </v:textbox>
                <w10:wrap type="none"/>
              </v:rect>
            </w:pict>
          </mc:Fallback>
        </mc:AlternateContent>
      </w:r>
    </w:p>
    <w:p>
      <w:pPr>
        <w:pStyle w:val="TextBody"/>
        <w:bidi w:val="0"/>
        <w:spacing w:before="0" w:after="2"/>
        <w:jc w:val="left"/>
        <w:rPr/>
      </w:pPr>
      <w:r>
        <w:rPr/>
      </w:r>
    </w:p>
    <w:p>
      <w:pPr>
        <w:pStyle w:val="TextBody"/>
        <w:bidi w:val="0"/>
        <w:spacing w:lineRule="auto" w:line="288" w:before="360" w:after="283"/>
        <w:jc w:val="center"/>
        <w:rPr>
          <w:rFonts w:ascii="Times New Roman;sans-serif" w:hAnsi="Times New Roman;sans-serif"/>
          <w:b/>
          <w:color w:val="000000"/>
          <w:sz w:val="20"/>
        </w:rPr>
      </w:pPr>
      <w:r>
        <w:rPr>
          <w:rFonts w:ascii="Times New Roman;sans-serif" w:hAnsi="Times New Roman;sans-serif"/>
          <w:b/>
          <w:color w:val="000000"/>
          <w:sz w:val="20"/>
        </w:rPr>
        <w:t>SIGNATURES</w:t>
      </w:r>
    </w:p>
    <w:p>
      <w:pPr>
        <w:pStyle w:val="TextBody"/>
        <w:bidi w:val="0"/>
        <w:spacing w:lineRule="auto" w:line="288" w:before="240" w:after="283"/>
        <w:jc w:val="left"/>
        <w:rPr>
          <w:rFonts w:ascii="Times New Roman;sans-serif" w:hAnsi="Times New Roman;sans-serif"/>
          <w:b w:val="false"/>
          <w:color w:val="000000"/>
          <w:sz w:val="20"/>
        </w:rPr>
      </w:pPr>
      <w:r>
        <w:rPr>
          <w:rFonts w:ascii="Times New Roman;sans-serif" w:hAnsi="Times New Roman;sans-serif"/>
          <w:b w:val="false"/>
          <w:color w:val="000000"/>
          <w:sz w:val="20"/>
        </w:rPr>
        <w:t>Pursuant to the requirements of the Securities Exchange Act of 1934, the Registrant has duly caused this report to be signed on its behalf by the undersigned hereunto duly authorized.</w:t>
      </w:r>
    </w:p>
    <w:tbl>
      <w:tblPr>
        <w:tblW w:w="5852" w:type="dxa"/>
        <w:jc w:val="left"/>
        <w:tblInd w:w="0" w:type="dxa"/>
        <w:tblLayout w:type="fixed"/>
        <w:tblCellMar>
          <w:top w:w="28" w:type="dxa"/>
          <w:left w:w="28" w:type="dxa"/>
          <w:bottom w:w="28" w:type="dxa"/>
          <w:right w:w="28" w:type="dxa"/>
        </w:tblCellMar>
      </w:tblPr>
      <w:tblGrid>
        <w:gridCol w:w="667"/>
        <w:gridCol w:w="586"/>
        <w:gridCol w:w="592"/>
        <w:gridCol w:w="436"/>
        <w:gridCol w:w="436"/>
        <w:gridCol w:w="436"/>
        <w:gridCol w:w="787"/>
        <w:gridCol w:w="787"/>
        <w:gridCol w:w="1125"/>
      </w:tblGrid>
      <w:tr>
        <w:trPr/>
        <w:tc>
          <w:tcPr>
            <w:tcW w:w="667" w:type="dxa"/>
            <w:tcBorders/>
            <w:vAlign w:val="center"/>
          </w:tcPr>
          <w:p>
            <w:pPr>
              <w:pStyle w:val="TableContents"/>
              <w:bidi w:val="0"/>
              <w:spacing w:before="0" w:after="283"/>
              <w:jc w:val="left"/>
              <w:rPr>
                <w:sz w:val="4"/>
                <w:szCs w:val="4"/>
              </w:rPr>
            </w:pPr>
            <w:r>
              <w:rPr>
                <w:sz w:val="4"/>
                <w:szCs w:val="4"/>
              </w:rPr>
            </w:r>
          </w:p>
        </w:tc>
        <w:tc>
          <w:tcPr>
            <w:tcW w:w="586" w:type="dxa"/>
            <w:tcBorders/>
            <w:vAlign w:val="center"/>
          </w:tcPr>
          <w:p>
            <w:pPr>
              <w:pStyle w:val="TableContents"/>
              <w:bidi w:val="0"/>
              <w:spacing w:before="0" w:after="283"/>
              <w:jc w:val="left"/>
              <w:rPr>
                <w:sz w:val="4"/>
                <w:szCs w:val="4"/>
              </w:rPr>
            </w:pPr>
            <w:r>
              <w:rPr>
                <w:sz w:val="4"/>
                <w:szCs w:val="4"/>
              </w:rPr>
            </w:r>
          </w:p>
        </w:tc>
        <w:tc>
          <w:tcPr>
            <w:tcW w:w="592" w:type="dxa"/>
            <w:tcBorders/>
            <w:vAlign w:val="center"/>
          </w:tcPr>
          <w:p>
            <w:pPr>
              <w:pStyle w:val="TableContents"/>
              <w:bidi w:val="0"/>
              <w:spacing w:before="0" w:after="283"/>
              <w:jc w:val="left"/>
              <w:rPr>
                <w:sz w:val="4"/>
                <w:szCs w:val="4"/>
              </w:rPr>
            </w:pPr>
            <w:r>
              <w:rPr>
                <w:sz w:val="4"/>
                <w:szCs w:val="4"/>
              </w:rPr>
            </w:r>
          </w:p>
        </w:tc>
        <w:tc>
          <w:tcPr>
            <w:tcW w:w="436" w:type="dxa"/>
            <w:tcBorders/>
            <w:vAlign w:val="center"/>
          </w:tcPr>
          <w:p>
            <w:pPr>
              <w:pStyle w:val="TableContents"/>
              <w:bidi w:val="0"/>
              <w:spacing w:before="0" w:after="283"/>
              <w:jc w:val="left"/>
              <w:rPr>
                <w:sz w:val="4"/>
                <w:szCs w:val="4"/>
              </w:rPr>
            </w:pPr>
            <w:r>
              <w:rPr>
                <w:sz w:val="4"/>
                <w:szCs w:val="4"/>
              </w:rPr>
            </w:r>
          </w:p>
        </w:tc>
        <w:tc>
          <w:tcPr>
            <w:tcW w:w="436" w:type="dxa"/>
            <w:tcBorders/>
            <w:vAlign w:val="center"/>
          </w:tcPr>
          <w:p>
            <w:pPr>
              <w:pStyle w:val="TableContents"/>
              <w:bidi w:val="0"/>
              <w:spacing w:before="0" w:after="283"/>
              <w:jc w:val="left"/>
              <w:rPr>
                <w:sz w:val="4"/>
                <w:szCs w:val="4"/>
              </w:rPr>
            </w:pPr>
            <w:r>
              <w:rPr>
                <w:sz w:val="4"/>
                <w:szCs w:val="4"/>
              </w:rPr>
            </w:r>
          </w:p>
        </w:tc>
        <w:tc>
          <w:tcPr>
            <w:tcW w:w="436" w:type="dxa"/>
            <w:tcBorders/>
            <w:vAlign w:val="center"/>
          </w:tcPr>
          <w:p>
            <w:pPr>
              <w:pStyle w:val="TableContents"/>
              <w:bidi w:val="0"/>
              <w:spacing w:before="0" w:after="283"/>
              <w:jc w:val="left"/>
              <w:rPr>
                <w:sz w:val="4"/>
                <w:szCs w:val="4"/>
              </w:rPr>
            </w:pPr>
            <w:r>
              <w:rPr>
                <w:sz w:val="4"/>
                <w:szCs w:val="4"/>
              </w:rPr>
            </w:r>
          </w:p>
        </w:tc>
        <w:tc>
          <w:tcPr>
            <w:tcW w:w="787" w:type="dxa"/>
            <w:tcBorders/>
            <w:vAlign w:val="center"/>
          </w:tcPr>
          <w:p>
            <w:pPr>
              <w:pStyle w:val="TableContents"/>
              <w:bidi w:val="0"/>
              <w:spacing w:before="0" w:after="283"/>
              <w:jc w:val="left"/>
              <w:rPr>
                <w:sz w:val="4"/>
                <w:szCs w:val="4"/>
              </w:rPr>
            </w:pPr>
            <w:r>
              <w:rPr>
                <w:sz w:val="4"/>
                <w:szCs w:val="4"/>
              </w:rPr>
            </w:r>
          </w:p>
        </w:tc>
        <w:tc>
          <w:tcPr>
            <w:tcW w:w="787" w:type="dxa"/>
            <w:tcBorders/>
            <w:vAlign w:val="center"/>
          </w:tcPr>
          <w:p>
            <w:pPr>
              <w:pStyle w:val="TableContents"/>
              <w:bidi w:val="0"/>
              <w:spacing w:before="0" w:after="283"/>
              <w:jc w:val="left"/>
              <w:rPr>
                <w:sz w:val="4"/>
                <w:szCs w:val="4"/>
              </w:rPr>
            </w:pPr>
            <w:r>
              <w:rPr>
                <w:sz w:val="4"/>
                <w:szCs w:val="4"/>
              </w:rPr>
            </w:r>
          </w:p>
        </w:tc>
        <w:tc>
          <w:tcPr>
            <w:tcW w:w="1125" w:type="dxa"/>
            <w:tcBorders/>
            <w:vAlign w:val="center"/>
          </w:tcPr>
          <w:p>
            <w:pPr>
              <w:pStyle w:val="TableContents"/>
              <w:bidi w:val="0"/>
              <w:spacing w:before="0" w:after="283"/>
              <w:jc w:val="left"/>
              <w:rPr>
                <w:sz w:val="4"/>
                <w:szCs w:val="4"/>
              </w:rPr>
            </w:pPr>
            <w:r>
              <w:rPr>
                <w:sz w:val="4"/>
                <w:szCs w:val="4"/>
              </w:rPr>
            </w:r>
          </w:p>
        </w:tc>
      </w:tr>
      <w:tr>
        <w:trPr/>
        <w:tc>
          <w:tcPr>
            <w:tcW w:w="1845"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4007" w:type="dxa"/>
            <w:gridSpan w:val="6"/>
            <w:tcBorders/>
            <w:tcMar>
              <w:top w:w="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color w:val="000000"/>
                <w:sz w:val="20"/>
              </w:rPr>
            </w:pPr>
            <w:r>
              <w:rPr>
                <w:rFonts w:ascii="Times New Roman;sans-serif" w:hAnsi="Times New Roman;sans-serif"/>
                <w:b/>
                <w:color w:val="000000"/>
                <w:sz w:val="20"/>
              </w:rPr>
              <w:t>Eiger BioPharmaceuticals, Inc.</w:t>
            </w:r>
          </w:p>
        </w:tc>
      </w:tr>
      <w:tr>
        <w:trPr/>
        <w:tc>
          <w:tcPr>
            <w:tcW w:w="1845"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308"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2699"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1845" w:type="dxa"/>
            <w:gridSpan w:val="3"/>
            <w:tcBorders/>
            <w:tcMar>
              <w:top w:w="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Dated: May 11, 2023</w:t>
            </w:r>
          </w:p>
        </w:tc>
        <w:tc>
          <w:tcPr>
            <w:tcW w:w="1308"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2699"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1845"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308"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2699"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1845"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308" w:type="dxa"/>
            <w:gridSpan w:val="3"/>
            <w:tcBorders/>
            <w:tcMar>
              <w:top w:w="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By:</w:t>
            </w:r>
          </w:p>
        </w:tc>
        <w:tc>
          <w:tcPr>
            <w:tcW w:w="2699" w:type="dxa"/>
            <w:gridSpan w:val="3"/>
            <w:tcBorders/>
            <w:tcMar>
              <w:top w:w="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 David Apelian</w:t>
            </w:r>
          </w:p>
        </w:tc>
      </w:tr>
      <w:tr>
        <w:trPr/>
        <w:tc>
          <w:tcPr>
            <w:tcW w:w="1845"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308"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2699" w:type="dxa"/>
            <w:gridSpan w:val="3"/>
            <w:tcBorders>
              <w:top w:val="single" w:sz="8" w:space="0" w:color="000000"/>
            </w:tcBorders>
            <w:tcMar>
              <w:top w:w="3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David Apelian</w:t>
              <w:br/>
              <w:t>Interim Chief Executive Officer</w:t>
            </w:r>
          </w:p>
        </w:tc>
      </w:tr>
    </w:tbl>
    <w:p>
      <w:pPr>
        <w:pStyle w:val="TextBody"/>
        <w:bidi w:val="0"/>
        <w:jc w:val="left"/>
        <w:rPr/>
      </w:pPr>
      <w:r>
        <w:rPr/>
      </w:r>
      <w:r>
        <w:br w:type="page"/>
      </w:r>
    </w:p>
    <w:p>
      <w:pPr>
        <w:sectPr>
          <w:type w:val="continuous"/>
          <w:pgSz w:w="11906" w:h="16838"/>
          <w:pgMar w:left="1134" w:right="567" w:gutter="0" w:header="0" w:top="567" w:footer="0" w:bottom="567"/>
          <w:pgNumType w:fmt="decimal"/>
          <w:formProt w:val="false"/>
          <w:textDirection w:val="lrTb"/>
          <w:docGrid w:type="default" w:linePitch="600" w:charSpace="32768"/>
        </w:sectPr>
      </w:pPr>
    </w:p>
    <w:p>
      <w:pPr>
        <w:pStyle w:val="TextBody"/>
        <w:bidi w:val="0"/>
        <w:spacing w:before="0" w:after="2"/>
        <w:jc w:val="left"/>
        <w:rPr/>
      </w:pPr>
      <w:r>
        <w:rPr/>
      </w:r>
      <w:r>
        <mc:AlternateContent>
          <mc:Choice Requires="wps">
            <w:drawing>
              <wp:anchor behindDoc="0" distT="0" distB="0" distL="0" distR="0" simplePos="0" locked="0" layoutInCell="1" allowOverlap="1" relativeHeight="6">
                <wp:simplePos x="0" y="0"/>
                <wp:positionH relativeFrom="character">
                  <wp:align>left</wp:align>
                </wp:positionH>
                <wp:positionV relativeFrom="line">
                  <wp:posOffset>635</wp:posOffset>
                </wp:positionV>
                <wp:extent cx="6480175" cy="175260"/>
                <wp:effectExtent l="0" t="0" r="0" b="0"/>
                <wp:wrapNone/>
                <wp:docPr id="3" name="Frame3"/>
                <a:graphic xmlns:a="http://schemas.openxmlformats.org/drawingml/2006/main">
                  <a:graphicData uri="http://schemas.microsoft.com/office/word/2010/wordprocessingShape">
                    <wps:wsp>
                      <wps:cNvSpPr txBox="1"/>
                      <wps:spPr>
                        <a:xfrm>
                          <a:off x="0" y="0"/>
                          <a:ext cx="6480175" cy="175260"/>
                        </a:xfrm>
                        <a:prstGeom prst="rect"/>
                        <a:solidFill>
                          <a:srgbClr val="FFFFFF"/>
                        </a:solidFill>
                      </wps:spPr>
                      <wps:txbx>
                        <w:txbxContent>
                          <w:p>
                            <w:pPr>
                              <w:pStyle w:val="TextBody"/>
                              <w:bidi w:val="0"/>
                              <w:spacing w:before="0" w:after="2"/>
                              <w:jc w:val="left"/>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
                        <w:jc w:val="left"/>
                        <w:rPr/>
                      </w:pPr>
                      <w:r>
                        <w:rPr/>
                      </w:r>
                    </w:p>
                  </w:txbxContent>
                </v:textbox>
                <w10:wrap type="none"/>
              </v:rect>
            </w:pict>
          </mc:Fallback>
        </mc:AlternateContent>
      </w:r>
    </w:p>
    <w:p>
      <w:pPr>
        <w:pStyle w:val="TextBody"/>
        <w:bidi w:val="0"/>
        <w:spacing w:before="360" w:after="283"/>
        <w:jc w:val="left"/>
        <w:rPr/>
      </w:pPr>
      <w:r>
        <w:rPr/>
        <w:drawing>
          <wp:inline distT="0" distB="0" distL="0" distR="0">
            <wp:extent cx="3409950" cy="1000125"/>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tretch>
                      <a:fillRect/>
                    </a:stretch>
                  </pic:blipFill>
                  <pic:spPr bwMode="auto">
                    <a:xfrm>
                      <a:off x="0" y="0"/>
                      <a:ext cx="3409950" cy="1000125"/>
                    </a:xfrm>
                    <a:prstGeom prst="rect">
                      <a:avLst/>
                    </a:prstGeom>
                  </pic:spPr>
                </pic:pic>
              </a:graphicData>
            </a:graphic>
          </wp:inline>
        </w:drawing>
      </w:r>
    </w:p>
    <w:p>
      <w:pPr>
        <w:pStyle w:val="TextBody"/>
        <w:bidi w:val="0"/>
        <w:spacing w:before="0" w:after="2"/>
        <w:jc w:val="left"/>
        <w:rPr/>
      </w:pPr>
      <w:r>
        <w:rPr/>
      </w:r>
    </w:p>
    <w:p>
      <w:pPr>
        <w:pStyle w:val="TextBody"/>
        <w:bidi w:val="0"/>
        <w:spacing w:lineRule="auto" w:line="276" w:before="0" w:after="2"/>
        <w:jc w:val="center"/>
        <w:rPr>
          <w:rFonts w:ascii="Times New Roman;sans-serif" w:hAnsi="Times New Roman;sans-serif"/>
          <w:b/>
          <w:color w:val="000000"/>
          <w:sz w:val="28"/>
        </w:rPr>
      </w:pPr>
      <w:r>
        <w:rPr>
          <w:rFonts w:ascii="Times New Roman;sans-serif" w:hAnsi="Times New Roman;sans-serif"/>
          <w:b/>
          <w:color w:val="000000"/>
          <w:sz w:val="28"/>
        </w:rPr>
        <w:t>Eiger BioPharmaceuticals Reports First Quarter 2023 Financial Results and Provides Business Update</w:t>
      </w:r>
    </w:p>
    <w:p>
      <w:pPr>
        <w:pStyle w:val="TextBody"/>
        <w:bidi w:val="0"/>
        <w:spacing w:lineRule="auto" w:line="276" w:before="0" w:after="0"/>
        <w:ind w:left="0" w:right="0" w:hanging="180"/>
        <w:jc w:val="left"/>
        <w:rPr/>
      </w:pPr>
      <w:r>
        <w:rPr>
          <w:color w:val="000000"/>
        </w:rPr>
        <w:t>•</w:t>
      </w:r>
      <w:r>
        <w:rPr>
          <w:rFonts w:ascii="Times New Roman;sans-serif" w:hAnsi="Times New Roman;sans-serif"/>
          <w:b w:val="false"/>
          <w:color w:val="000000"/>
          <w:sz w:val="22"/>
        </w:rPr>
        <w:t xml:space="preserve">Phase 3 HDV </w:t>
      </w:r>
      <w:r>
        <w:rPr>
          <w:rFonts w:ascii="Times New Roman;sans-serif" w:hAnsi="Times New Roman;sans-serif"/>
          <w:b w:val="false"/>
          <w:i/>
          <w:color w:val="000000"/>
          <w:sz w:val="22"/>
        </w:rPr>
        <w:t>D-LIVR</w:t>
      </w:r>
      <w:r>
        <w:rPr>
          <w:color w:val="000000"/>
        </w:rPr>
        <w:t xml:space="preserve"> </w:t>
      </w:r>
      <w:r>
        <w:rPr>
          <w:rFonts w:ascii="Times New Roman;sans-serif" w:hAnsi="Times New Roman;sans-serif"/>
          <w:b w:val="false"/>
          <w:color w:val="000000"/>
          <w:sz w:val="22"/>
        </w:rPr>
        <w:t xml:space="preserve">(lonafarnib/ritonavir) Study: Pre-NDA Meeting with FDA in Q2 2023 </w:t>
      </w:r>
    </w:p>
    <w:p>
      <w:pPr>
        <w:pStyle w:val="TextBody"/>
        <w:bidi w:val="0"/>
        <w:spacing w:lineRule="auto" w:line="276" w:before="0" w:after="0"/>
        <w:ind w:left="0" w:right="0" w:hanging="180"/>
        <w:jc w:val="left"/>
        <w:rPr/>
      </w:pPr>
      <w:r>
        <w:rPr>
          <w:color w:val="000000"/>
        </w:rPr>
        <w:t>•</w:t>
      </w:r>
      <w:r>
        <w:rPr>
          <w:rFonts w:ascii="Times New Roman;sans-serif" w:hAnsi="Times New Roman;sans-serif"/>
          <w:b w:val="false"/>
          <w:color w:val="000000"/>
          <w:sz w:val="22"/>
        </w:rPr>
        <w:t xml:space="preserve">Phase 3 HDV </w:t>
      </w:r>
      <w:r>
        <w:rPr>
          <w:rFonts w:ascii="Times New Roman;sans-serif" w:hAnsi="Times New Roman;sans-serif"/>
          <w:b w:val="false"/>
          <w:i/>
          <w:color w:val="000000"/>
          <w:sz w:val="22"/>
        </w:rPr>
        <w:t>LIMT-2</w:t>
      </w:r>
      <w:r>
        <w:rPr>
          <w:color w:val="000000"/>
        </w:rPr>
        <w:t xml:space="preserve"> </w:t>
      </w:r>
      <w:r>
        <w:rPr>
          <w:rFonts w:ascii="Times New Roman;sans-serif" w:hAnsi="Times New Roman;sans-serif"/>
          <w:b w:val="false"/>
          <w:color w:val="000000"/>
          <w:sz w:val="22"/>
        </w:rPr>
        <w:t>(peginterferon lambda) Study: Complete Randomization in Q2 2023</w:t>
      </w:r>
    </w:p>
    <w:p>
      <w:pPr>
        <w:pStyle w:val="TextBody"/>
        <w:bidi w:val="0"/>
        <w:spacing w:lineRule="auto" w:line="276" w:before="0" w:after="0"/>
        <w:ind w:left="0" w:right="0" w:hanging="180"/>
        <w:jc w:val="left"/>
        <w:rPr/>
      </w:pPr>
      <w:r>
        <w:rPr>
          <w:color w:val="000000"/>
        </w:rPr>
        <w:t>•</w:t>
      </w:r>
      <w:r>
        <w:rPr>
          <w:rFonts w:ascii="Times New Roman;sans-serif" w:hAnsi="Times New Roman;sans-serif"/>
          <w:b w:val="false"/>
          <w:color w:val="000000"/>
          <w:sz w:val="22"/>
        </w:rPr>
        <w:t xml:space="preserve">Phase 3 HI </w:t>
      </w:r>
      <w:r>
        <w:rPr>
          <w:rFonts w:ascii="Times New Roman;sans-serif" w:hAnsi="Times New Roman;sans-serif"/>
          <w:b w:val="false"/>
          <w:i/>
          <w:color w:val="000000"/>
          <w:sz w:val="22"/>
        </w:rPr>
        <w:t xml:space="preserve">AVANT </w:t>
      </w:r>
      <w:r>
        <w:rPr>
          <w:rFonts w:ascii="Times New Roman;sans-serif" w:hAnsi="Times New Roman;sans-serif"/>
          <w:b w:val="false"/>
          <w:color w:val="000000"/>
          <w:sz w:val="22"/>
        </w:rPr>
        <w:t>(avexitide) Program: Startup Activities Initiated</w:t>
      </w:r>
    </w:p>
    <w:p>
      <w:pPr>
        <w:pStyle w:val="TextBody"/>
        <w:bidi w:val="0"/>
        <w:spacing w:lineRule="auto" w:line="276" w:before="0" w:after="0"/>
        <w:ind w:left="0" w:right="0" w:hanging="180"/>
        <w:jc w:val="left"/>
        <w:rPr/>
      </w:pPr>
      <w:r>
        <w:rPr>
          <w:color w:val="000000"/>
        </w:rPr>
        <w:t>•</w:t>
      </w:r>
      <w:r>
        <w:rPr>
          <w:rFonts w:ascii="Times New Roman;sans-serif" w:hAnsi="Times New Roman;sans-serif"/>
          <w:b w:val="false"/>
          <w:color w:val="000000"/>
          <w:sz w:val="22"/>
        </w:rPr>
        <w:t>Cash Position: $75.3 million in Cash, Cash Equivalents, and Short-Term Debt Securities as of March 31, 2023</w:t>
      </w:r>
    </w:p>
    <w:p>
      <w:pPr>
        <w:pStyle w:val="TextBody"/>
        <w:bidi w:val="0"/>
        <w:spacing w:before="0" w:after="2"/>
        <w:ind w:left="0" w:right="0" w:firstLine="360"/>
        <w:jc w:val="left"/>
        <w:rPr/>
      </w:pPr>
      <w:r>
        <w:rPr/>
      </w:r>
    </w:p>
    <w:p>
      <w:pPr>
        <w:pStyle w:val="TextBody"/>
        <w:bidi w:val="0"/>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Palo Alto, Calif., May 11, 2023 /PRNewswire/ -- Eiger BioPharmaceuticals, Inc. (Nasdaq:EIGR), a commercial-stage biopharmaceutical company focused on the development of innovative therapies for hepatitis delta virus (HDV) and other serious diseases, today reported financial results for first quarter 2023 and provided a business update.</w:t>
      </w:r>
    </w:p>
    <w:p>
      <w:pPr>
        <w:pStyle w:val="TextBody"/>
        <w:bidi w:val="0"/>
        <w:spacing w:before="0" w:after="0"/>
        <w:jc w:val="left"/>
        <w:rPr/>
      </w:pPr>
      <w:r>
        <w:rPr/>
      </w:r>
    </w:p>
    <w:p>
      <w:pPr>
        <w:pStyle w:val="TextBody"/>
        <w:bidi w:val="0"/>
        <w:spacing w:lineRule="auto" w:line="268" w:before="0" w:after="0"/>
        <w:jc w:val="left"/>
        <w:rPr/>
      </w:pPr>
      <w:r>
        <w:rPr>
          <w:color w:val="000000"/>
        </w:rPr>
        <w:t>“</w:t>
      </w:r>
      <w:r>
        <w:rPr>
          <w:rFonts w:ascii="Times New Roman;sans-serif" w:hAnsi="Times New Roman;sans-serif"/>
          <w:b w:val="false"/>
          <w:color w:val="000000"/>
          <w:sz w:val="22"/>
        </w:rPr>
        <w:t xml:space="preserve">In December, we announced that both our lonafarnib-based treatments met the primary endpoint in our pivotal Phase 3 </w:t>
      </w:r>
      <w:r>
        <w:rPr>
          <w:rFonts w:ascii="Times New Roman;sans-serif" w:hAnsi="Times New Roman;sans-serif"/>
          <w:b w:val="false"/>
          <w:i/>
          <w:color w:val="000000"/>
          <w:sz w:val="22"/>
        </w:rPr>
        <w:t>D-LIVR</w:t>
      </w:r>
      <w:r>
        <w:rPr>
          <w:color w:val="000000"/>
        </w:rPr>
        <w:t xml:space="preserve"> </w:t>
      </w:r>
      <w:r>
        <w:rPr>
          <w:rFonts w:ascii="Times New Roman;sans-serif" w:hAnsi="Times New Roman;sans-serif"/>
          <w:b w:val="false"/>
          <w:color w:val="000000"/>
          <w:sz w:val="22"/>
        </w:rPr>
        <w:t>trial in hepatitis delta virus (HDV), and we look forward to our pre-NDA meeting with the FDA in the second quarter, which will inform our strategy for the lonafarnib HDV program,” said David Apelian, MD, PhD, Interim CEO, Eiger.</w:t>
      </w:r>
    </w:p>
    <w:p>
      <w:pPr>
        <w:pStyle w:val="TextBody"/>
        <w:bidi w:val="0"/>
        <w:spacing w:lineRule="auto" w:line="26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Dr. Apelian continued, “On the corporate front, we strengthened our management team with the appointments of our new Chief Financial Officer and our new General Counsel, Chief Compliance Officer and Corporate Secretary, both of which come during a pivotal time as we complete our program prioritization analyses this quarter to determine the most promising drivers for shareholder value.”</w:t>
      </w:r>
    </w:p>
    <w:p>
      <w:pPr>
        <w:pStyle w:val="TextBody"/>
        <w:bidi w:val="0"/>
        <w:spacing w:before="0" w:after="2"/>
        <w:jc w:val="left"/>
        <w:rPr/>
      </w:pPr>
      <w:r>
        <w:rPr/>
      </w:r>
    </w:p>
    <w:p>
      <w:pPr>
        <w:pStyle w:val="TextBody"/>
        <w:bidi w:val="0"/>
        <w:spacing w:lineRule="auto" w:line="276" w:before="0" w:after="2"/>
        <w:jc w:val="left"/>
        <w:rPr>
          <w:rFonts w:ascii="Times New Roman;sans-serif" w:hAnsi="Times New Roman;sans-serif"/>
          <w:b/>
          <w:color w:val="000000"/>
          <w:sz w:val="22"/>
          <w:u w:val="single"/>
        </w:rPr>
      </w:pPr>
      <w:r>
        <w:rPr>
          <w:rFonts w:ascii="Times New Roman;sans-serif" w:hAnsi="Times New Roman;sans-serif"/>
          <w:b/>
          <w:color w:val="000000"/>
          <w:sz w:val="22"/>
          <w:u w:val="single"/>
        </w:rPr>
        <w:t>Business Highlights</w:t>
      </w:r>
    </w:p>
    <w:p>
      <w:pPr>
        <w:pStyle w:val="TextBody"/>
        <w:bidi w:val="0"/>
        <w:spacing w:before="0" w:after="2"/>
        <w:jc w:val="left"/>
        <w:rPr/>
      </w:pPr>
      <w:r>
        <w:rPr/>
      </w:r>
    </w:p>
    <w:p>
      <w:pPr>
        <w:pStyle w:val="TextBody"/>
        <w:bidi w:val="0"/>
        <w:spacing w:lineRule="auto" w:line="276" w:before="0" w:after="0"/>
        <w:jc w:val="left"/>
        <w:rPr>
          <w:rFonts w:ascii="Times New Roman;sans-serif" w:hAnsi="Times New Roman;sans-serif"/>
          <w:b/>
          <w:color w:val="000000"/>
          <w:sz w:val="22"/>
        </w:rPr>
      </w:pPr>
      <w:r>
        <w:rPr>
          <w:rFonts w:ascii="Times New Roman;sans-serif" w:hAnsi="Times New Roman;sans-serif"/>
          <w:b/>
          <w:color w:val="000000"/>
          <w:sz w:val="22"/>
        </w:rPr>
        <w:t>Hepatitis Delta Virus Platform</w:t>
      </w:r>
    </w:p>
    <w:p>
      <w:pPr>
        <w:pStyle w:val="TextBody"/>
        <w:bidi w:val="0"/>
        <w:spacing w:lineRule="auto" w:line="276" w:before="0" w:after="0"/>
        <w:ind w:left="0" w:right="0" w:firstLine="360"/>
        <w:jc w:val="left"/>
        <w:rPr>
          <w:rFonts w:ascii="Times New Roman;sans-serif" w:hAnsi="Times New Roman;sans-serif"/>
          <w:b/>
          <w:color w:val="000000"/>
          <w:sz w:val="22"/>
        </w:rPr>
      </w:pPr>
      <w:r>
        <w:rPr>
          <w:rFonts w:ascii="Times New Roman;sans-serif" w:hAnsi="Times New Roman;sans-serif"/>
          <w:b/>
          <w:color w:val="000000"/>
          <w:sz w:val="22"/>
        </w:rPr>
        <w:t>Lonafarnib-Based Regimens for HDV</w:t>
      </w:r>
    </w:p>
    <w:p>
      <w:pPr>
        <w:pStyle w:val="TextBody"/>
        <w:bidi w:val="0"/>
        <w:spacing w:lineRule="auto" w:line="276" w:before="0" w:after="0"/>
        <w:ind w:left="0" w:right="0" w:hanging="360"/>
        <w:jc w:val="left"/>
        <w:rPr/>
      </w:pPr>
      <w:r>
        <w:rPr>
          <w:color w:val="000000"/>
        </w:rPr>
        <w:t>•</w:t>
      </w:r>
      <w:r>
        <w:rPr>
          <w:rFonts w:ascii="Times New Roman;sans-serif" w:hAnsi="Times New Roman;sans-serif"/>
          <w:b w:val="false"/>
          <w:color w:val="000000"/>
          <w:sz w:val="22"/>
        </w:rPr>
        <w:t>First-in-class, oral prenylation inhibitor</w:t>
      </w:r>
    </w:p>
    <w:p>
      <w:pPr>
        <w:pStyle w:val="TextBody"/>
        <w:bidi w:val="0"/>
        <w:spacing w:lineRule="auto" w:line="276" w:before="0" w:after="0"/>
        <w:ind w:left="0" w:right="0" w:hanging="360"/>
        <w:jc w:val="left"/>
        <w:rPr/>
      </w:pPr>
      <w:r>
        <w:rPr>
          <w:color w:val="000000"/>
        </w:rPr>
        <w:t>•</w:t>
      </w:r>
      <w:r>
        <w:rPr>
          <w:rFonts w:ascii="Times New Roman;sans-serif" w:hAnsi="Times New Roman;sans-serif"/>
          <w:b w:val="false"/>
          <w:color w:val="000000"/>
          <w:sz w:val="22"/>
        </w:rPr>
        <w:t>Pre-NDA meeting with FDA in Q2 2023</w:t>
      </w:r>
    </w:p>
    <w:p>
      <w:pPr>
        <w:pStyle w:val="TextBody"/>
        <w:bidi w:val="0"/>
        <w:spacing w:lineRule="auto" w:line="276" w:before="0" w:after="0"/>
        <w:ind w:left="0" w:right="0" w:hanging="360"/>
        <w:jc w:val="left"/>
        <w:rPr/>
      </w:pPr>
      <w:r>
        <w:rPr>
          <w:color w:val="000000"/>
        </w:rPr>
        <w:t>•</w:t>
      </w:r>
      <w:r>
        <w:rPr>
          <w:rFonts w:ascii="Times New Roman;sans-serif" w:hAnsi="Times New Roman;sans-serif"/>
          <w:b w:val="false"/>
          <w:i/>
          <w:color w:val="000000"/>
          <w:sz w:val="22"/>
        </w:rPr>
        <w:t>D-LIVR</w:t>
      </w:r>
      <w:r>
        <w:rPr>
          <w:color w:val="000000"/>
        </w:rPr>
        <w:t xml:space="preserve"> </w:t>
      </w:r>
      <w:r>
        <w:rPr>
          <w:rFonts w:ascii="Times New Roman;sans-serif" w:hAnsi="Times New Roman;sans-serif"/>
          <w:b w:val="false"/>
          <w:color w:val="000000"/>
          <w:sz w:val="22"/>
        </w:rPr>
        <w:t>Week 72 data to be presented at EASL in June</w:t>
      </w:r>
    </w:p>
    <w:p>
      <w:pPr>
        <w:pStyle w:val="TextBody"/>
        <w:bidi w:val="0"/>
        <w:spacing w:before="0" w:after="0"/>
        <w:jc w:val="left"/>
        <w:rPr/>
      </w:pPr>
      <w:r>
        <w:rPr/>
      </w:r>
    </w:p>
    <w:p>
      <w:pPr>
        <w:pStyle w:val="TextBody"/>
        <w:bidi w:val="0"/>
        <w:spacing w:lineRule="auto" w:line="276" w:before="0" w:after="0"/>
        <w:ind w:left="0" w:right="0" w:firstLine="360"/>
        <w:jc w:val="left"/>
        <w:rPr>
          <w:rFonts w:ascii="Times New Roman;sans-serif" w:hAnsi="Times New Roman;sans-serif"/>
          <w:b/>
          <w:color w:val="000000"/>
          <w:sz w:val="22"/>
        </w:rPr>
      </w:pPr>
      <w:r>
        <w:rPr>
          <w:rFonts w:ascii="Times New Roman;sans-serif" w:hAnsi="Times New Roman;sans-serif"/>
          <w:b/>
          <w:color w:val="000000"/>
          <w:sz w:val="22"/>
        </w:rPr>
        <w:t>Peginterferon Lambda for HDV</w:t>
      </w:r>
    </w:p>
    <w:p>
      <w:pPr>
        <w:pStyle w:val="TextBody"/>
        <w:bidi w:val="0"/>
        <w:spacing w:lineRule="auto" w:line="268" w:before="0" w:after="0"/>
        <w:ind w:left="0" w:right="0" w:hanging="360"/>
        <w:jc w:val="left"/>
        <w:rPr/>
      </w:pPr>
      <w:r>
        <w:rPr>
          <w:color w:val="000000"/>
        </w:rPr>
        <w:t>•</w:t>
      </w:r>
      <w:r>
        <w:rPr>
          <w:rFonts w:ascii="Times New Roman;sans-serif" w:hAnsi="Times New Roman;sans-serif"/>
          <w:b w:val="false"/>
          <w:color w:val="000000"/>
          <w:sz w:val="22"/>
        </w:rPr>
        <w:t>First-in-class, well-characterized interferon</w:t>
      </w:r>
    </w:p>
    <w:p>
      <w:pPr>
        <w:pStyle w:val="TextBody"/>
        <w:bidi w:val="0"/>
        <w:spacing w:lineRule="auto" w:line="276" w:before="0" w:after="0"/>
        <w:ind w:left="0" w:right="0" w:hanging="360"/>
        <w:jc w:val="left"/>
        <w:rPr/>
      </w:pPr>
      <w:r>
        <w:rPr>
          <w:color w:val="000000"/>
        </w:rPr>
        <w:t>•</w:t>
      </w:r>
      <w:r>
        <w:rPr>
          <w:rFonts w:ascii="Times New Roman;sans-serif" w:hAnsi="Times New Roman;sans-serif"/>
          <w:b w:val="false"/>
          <w:color w:val="000000"/>
          <w:sz w:val="22"/>
        </w:rPr>
        <w:t xml:space="preserve">Phase 3 </w:t>
      </w:r>
      <w:r>
        <w:rPr>
          <w:rFonts w:ascii="Times New Roman;sans-serif" w:hAnsi="Times New Roman;sans-serif"/>
          <w:b w:val="false"/>
          <w:i/>
          <w:color w:val="000000"/>
          <w:sz w:val="22"/>
        </w:rPr>
        <w:t>LIMT-2</w:t>
      </w:r>
      <w:r>
        <w:rPr>
          <w:color w:val="000000"/>
        </w:rPr>
        <w:t xml:space="preserve"> </w:t>
      </w:r>
      <w:r>
        <w:rPr>
          <w:rFonts w:ascii="Times New Roman;sans-serif" w:hAnsi="Times New Roman;sans-serif"/>
          <w:b w:val="false"/>
          <w:color w:val="000000"/>
          <w:sz w:val="22"/>
        </w:rPr>
        <w:t>study to complete randomization by end of Q2 2023 (N=150)</w:t>
      </w:r>
    </w:p>
    <w:p>
      <w:pPr>
        <w:pStyle w:val="TextBody"/>
        <w:bidi w:val="0"/>
        <w:spacing w:before="0" w:after="0"/>
        <w:jc w:val="left"/>
        <w:rPr/>
      </w:pPr>
      <w:r>
        <w:rPr/>
      </w:r>
    </w:p>
    <w:p>
      <w:pPr>
        <w:pStyle w:val="TextBody"/>
        <w:bidi w:val="0"/>
        <w:spacing w:lineRule="auto" w:line="276" w:before="0" w:after="0"/>
        <w:ind w:left="0" w:right="0" w:firstLine="360"/>
        <w:jc w:val="left"/>
        <w:rPr>
          <w:rFonts w:ascii="Times New Roman;sans-serif" w:hAnsi="Times New Roman;sans-serif"/>
          <w:b/>
          <w:color w:val="000000"/>
          <w:sz w:val="22"/>
        </w:rPr>
      </w:pPr>
      <w:r>
        <w:rPr>
          <w:rFonts w:ascii="Times New Roman;sans-serif" w:hAnsi="Times New Roman;sans-serif"/>
          <w:b/>
          <w:color w:val="000000"/>
          <w:sz w:val="22"/>
        </w:rPr>
        <w:t>Combination of Peginterferon Lambda and Lonafarnib/Ritonavir for HDV</w:t>
      </w:r>
    </w:p>
    <w:p>
      <w:pPr>
        <w:pStyle w:val="TextBody"/>
        <w:bidi w:val="0"/>
        <w:spacing w:lineRule="auto" w:line="276" w:before="0" w:after="0"/>
        <w:ind w:left="0" w:right="0" w:hanging="360"/>
        <w:jc w:val="left"/>
        <w:rPr/>
      </w:pPr>
      <w:r>
        <w:rPr>
          <w:color w:val="000000"/>
        </w:rPr>
        <w:t>•</w:t>
      </w:r>
      <w:r>
        <w:rPr>
          <w:rFonts w:ascii="Times New Roman;sans-serif" w:hAnsi="Times New Roman;sans-serif"/>
          <w:b w:val="false"/>
          <w:color w:val="000000"/>
          <w:sz w:val="22"/>
        </w:rPr>
        <w:t xml:space="preserve">Phase 2 </w:t>
      </w:r>
      <w:r>
        <w:rPr>
          <w:rFonts w:ascii="Times New Roman;sans-serif" w:hAnsi="Times New Roman;sans-serif"/>
          <w:b w:val="false"/>
          <w:i/>
          <w:color w:val="000000"/>
          <w:sz w:val="22"/>
        </w:rPr>
        <w:t>LIFT-2</w:t>
      </w:r>
      <w:r>
        <w:rPr>
          <w:color w:val="000000"/>
        </w:rPr>
        <w:t xml:space="preserve"> </w:t>
      </w:r>
      <w:r>
        <w:rPr>
          <w:rFonts w:ascii="Times New Roman;sans-serif" w:hAnsi="Times New Roman;sans-serif"/>
          <w:b w:val="false"/>
          <w:color w:val="000000"/>
          <w:sz w:val="22"/>
        </w:rPr>
        <w:t>study in collaboration with National Institutes of Health initiating in 2023</w:t>
      </w:r>
    </w:p>
    <w:p>
      <w:pPr>
        <w:pStyle w:val="TextBody"/>
        <w:bidi w:val="0"/>
        <w:spacing w:lineRule="auto" w:line="276" w:before="0" w:after="0"/>
        <w:ind w:left="0" w:right="0" w:hanging="360"/>
        <w:jc w:val="left"/>
        <w:rPr/>
      </w:pPr>
      <w:r>
        <w:rPr>
          <w:color w:val="000000"/>
        </w:rPr>
        <w:t>•</w:t>
      </w:r>
      <w:r>
        <w:rPr>
          <w:rFonts w:ascii="Times New Roman;sans-serif" w:hAnsi="Times New Roman;sans-serif"/>
          <w:b w:val="false"/>
          <w:color w:val="000000"/>
          <w:sz w:val="22"/>
        </w:rPr>
        <w:t xml:space="preserve">Single arm study (N=30), 48 weeks of treatment with 24 weeks of follow-up </w:t>
      </w:r>
    </w:p>
    <w:p>
      <w:pPr>
        <w:pStyle w:val="TextBody"/>
        <w:bidi w:val="0"/>
        <w:spacing w:before="0" w:after="0"/>
        <w:jc w:val="left"/>
        <w:rPr/>
      </w:pPr>
      <w:r>
        <w:rPr/>
      </w:r>
    </w:p>
    <w:p>
      <w:pPr>
        <w:pStyle w:val="TextBody"/>
        <w:bidi w:val="0"/>
        <w:spacing w:lineRule="auto" w:line="276" w:before="0" w:after="0"/>
        <w:jc w:val="left"/>
        <w:rPr>
          <w:rFonts w:ascii="Times New Roman;sans-serif" w:hAnsi="Times New Roman;sans-serif"/>
          <w:b/>
          <w:color w:val="000000"/>
          <w:sz w:val="22"/>
        </w:rPr>
      </w:pPr>
      <w:r>
        <w:rPr>
          <w:rFonts w:ascii="Times New Roman;sans-serif" w:hAnsi="Times New Roman;sans-serif"/>
          <w:b/>
          <w:color w:val="000000"/>
          <w:sz w:val="22"/>
        </w:rPr>
        <w:t>Avexitide for Rare Metabolic Disorders</w:t>
      </w:r>
    </w:p>
    <w:p>
      <w:pPr>
        <w:pStyle w:val="TextBody"/>
        <w:bidi w:val="0"/>
        <w:spacing w:lineRule="auto" w:line="276" w:before="0" w:after="0"/>
        <w:ind w:left="0" w:right="0" w:hanging="360"/>
        <w:jc w:val="left"/>
        <w:rPr/>
      </w:pPr>
      <w:r>
        <w:rPr>
          <w:color w:val="000000"/>
        </w:rPr>
        <w:t>•</w:t>
      </w:r>
      <w:r>
        <w:rPr>
          <w:rFonts w:ascii="Times New Roman;sans-serif" w:hAnsi="Times New Roman;sans-serif"/>
          <w:b w:val="false"/>
          <w:color w:val="000000"/>
          <w:sz w:val="22"/>
        </w:rPr>
        <w:t>Well-characterized GLP-1 antagonist</w:t>
      </w:r>
    </w:p>
    <w:p>
      <w:pPr>
        <w:pStyle w:val="TextBody"/>
        <w:bidi w:val="0"/>
        <w:spacing w:lineRule="auto" w:line="276" w:before="0" w:after="0"/>
        <w:ind w:left="0" w:right="0" w:hanging="360"/>
        <w:jc w:val="left"/>
        <w:rPr/>
      </w:pPr>
      <w:r>
        <w:rPr>
          <w:color w:val="000000"/>
        </w:rPr>
        <w:t>•</w:t>
      </w:r>
      <w:r>
        <w:rPr>
          <w:rFonts w:ascii="Times New Roman;sans-serif" w:hAnsi="Times New Roman;sans-serif"/>
          <w:b w:val="false"/>
          <w:color w:val="000000"/>
          <w:sz w:val="22"/>
        </w:rPr>
        <w:t xml:space="preserve">Phase 3 readiness activities initiated in </w:t>
      </w:r>
      <w:r>
        <w:rPr>
          <w:rFonts w:ascii="Times New Roman;sans-serif" w:hAnsi="Times New Roman;sans-serif"/>
          <w:b w:val="false"/>
          <w:i/>
          <w:color w:val="000000"/>
          <w:sz w:val="22"/>
        </w:rPr>
        <w:t>AVANT</w:t>
      </w:r>
      <w:r>
        <w:rPr>
          <w:color w:val="000000"/>
        </w:rPr>
        <w:t xml:space="preserve"> </w:t>
      </w:r>
      <w:r>
        <w:rPr>
          <w:rFonts w:ascii="Times New Roman;sans-serif" w:hAnsi="Times New Roman;sans-serif"/>
          <w:b w:val="false"/>
          <w:color w:val="000000"/>
          <w:sz w:val="22"/>
        </w:rPr>
        <w:t>congenital hyperinsulinism (HI) program</w:t>
      </w:r>
    </w:p>
    <w:p>
      <w:pPr>
        <w:pStyle w:val="TextBody"/>
        <w:bidi w:val="0"/>
        <w:spacing w:before="0" w:after="0"/>
        <w:jc w:val="left"/>
        <w:rPr/>
      </w:pPr>
      <w:r>
        <w:rPr/>
      </w:r>
    </w:p>
    <w:p>
      <w:pPr>
        <w:pStyle w:val="TextBody"/>
        <w:bidi w:val="0"/>
        <w:spacing w:lineRule="auto" w:line="276" w:before="0" w:after="0"/>
        <w:jc w:val="left"/>
        <w:rPr/>
      </w:pPr>
      <w:r>
        <w:rPr>
          <w:rFonts w:ascii="Times New Roman;sans-serif" w:hAnsi="Times New Roman;sans-serif"/>
          <w:b/>
          <w:color w:val="000000"/>
          <w:sz w:val="22"/>
        </w:rPr>
        <w:t>Zokinvy</w:t>
      </w:r>
      <w:r>
        <w:rPr>
          <w:rFonts w:ascii="Times New Roman;sans-serif" w:hAnsi="Times New Roman;sans-serif"/>
          <w:b/>
          <w:color w:val="000000"/>
          <w:sz w:val="14"/>
        </w:rPr>
        <w:t>®</w:t>
      </w:r>
      <w:r>
        <w:rPr>
          <w:color w:val="000000"/>
        </w:rPr>
        <w:t xml:space="preserve"> </w:t>
      </w:r>
      <w:r>
        <w:rPr>
          <w:rFonts w:ascii="Times New Roman;sans-serif" w:hAnsi="Times New Roman;sans-serif"/>
          <w:b/>
          <w:color w:val="000000"/>
          <w:sz w:val="22"/>
        </w:rPr>
        <w:t>(lonafarnib) for Progeria and Processing-Deficient Progeroid Laminopathies</w:t>
      </w:r>
    </w:p>
    <w:p>
      <w:pPr>
        <w:pStyle w:val="TextBody"/>
        <w:bidi w:val="0"/>
        <w:spacing w:lineRule="auto" w:line="276" w:before="0" w:after="0"/>
        <w:ind w:left="0" w:right="0" w:hanging="360"/>
        <w:jc w:val="left"/>
        <w:rPr/>
      </w:pPr>
      <w:r>
        <w:rPr>
          <w:color w:val="000000"/>
        </w:rPr>
        <w:t>•</w:t>
      </w:r>
      <w:r>
        <w:rPr>
          <w:rFonts w:ascii="Times New Roman;sans-serif" w:hAnsi="Times New Roman;sans-serif"/>
          <w:b w:val="false"/>
          <w:color w:val="000000"/>
          <w:sz w:val="22"/>
        </w:rPr>
        <w:t>Granted marketing authorization approval in EU and U.K.</w:t>
      </w:r>
    </w:p>
    <w:p>
      <w:pPr>
        <w:pStyle w:val="TextBody"/>
        <w:bidi w:val="0"/>
        <w:spacing w:lineRule="auto" w:line="276" w:before="0" w:after="0"/>
        <w:ind w:left="0" w:right="0" w:hanging="360"/>
        <w:jc w:val="left"/>
        <w:rPr/>
      </w:pPr>
      <w:r>
        <w:rPr>
          <w:color w:val="000000"/>
        </w:rPr>
        <w:t>•</w:t>
      </w:r>
      <w:r>
        <w:rPr>
          <w:rFonts w:ascii="Times New Roman;sans-serif" w:hAnsi="Times New Roman;sans-serif"/>
          <w:b w:val="false"/>
          <w:color w:val="000000"/>
          <w:sz w:val="22"/>
        </w:rPr>
        <w:t>Achieved net revenue of $4.1 million in Q1 2023</w:t>
      </w:r>
    </w:p>
    <w:p>
      <w:pPr>
        <w:pStyle w:val="TextBody"/>
        <w:bidi w:val="0"/>
        <w:spacing w:before="0" w:after="283"/>
        <w:jc w:val="left"/>
        <w:rPr/>
      </w:pPr>
      <w:r>
        <w:rPr/>
      </w:r>
    </w:p>
    <w:p>
      <w:pPr>
        <w:pStyle w:val="TextBody"/>
        <w:bidi w:val="0"/>
        <w:spacing w:before="0" w:after="2"/>
        <w:jc w:val="left"/>
        <w:rPr/>
      </w:pPr>
      <w:r>
        <w:rPr/>
      </w:r>
      <w:r>
        <mc:AlternateContent>
          <mc:Choice Requires="wps">
            <w:drawing>
              <wp:anchor behindDoc="0" distT="0" distB="0" distL="0" distR="0" simplePos="0" locked="0" layoutInCell="1" allowOverlap="1" relativeHeight="7">
                <wp:simplePos x="0" y="0"/>
                <wp:positionH relativeFrom="character">
                  <wp:align>left</wp:align>
                </wp:positionH>
                <wp:positionV relativeFrom="line">
                  <wp:posOffset>635</wp:posOffset>
                </wp:positionV>
                <wp:extent cx="6480175" cy="175260"/>
                <wp:effectExtent l="0" t="0" r="0" b="0"/>
                <wp:wrapNone/>
                <wp:docPr id="5" name="Frame4"/>
                <a:graphic xmlns:a="http://schemas.openxmlformats.org/drawingml/2006/main">
                  <a:graphicData uri="http://schemas.microsoft.com/office/word/2010/wordprocessingShape">
                    <wps:wsp>
                      <wps:cNvSpPr txBox="1"/>
                      <wps:spPr>
                        <a:xfrm>
                          <a:off x="0" y="0"/>
                          <a:ext cx="6480175" cy="175260"/>
                        </a:xfrm>
                        <a:prstGeom prst="rect"/>
                        <a:solidFill>
                          <a:srgbClr val="FFFFFF"/>
                        </a:solidFill>
                      </wps:spPr>
                      <wps:txbx>
                        <w:txbxContent>
                          <w:p>
                            <w:pPr>
                              <w:pStyle w:val="TextBody"/>
                              <w:bidi w:val="0"/>
                              <w:spacing w:before="0" w:after="2"/>
                              <w:jc w:val="left"/>
                              <w:rPr/>
                            </w:pPr>
                            <w:r>
                              <w:rPr/>
                            </w:r>
                            <w:r>
                              <w:br w:type="page"/>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
                        <w:jc w:val="left"/>
                        <w:rPr/>
                      </w:pPr>
                      <w:r>
                        <w:rPr/>
                      </w:r>
                    </w:p>
                  </w:txbxContent>
                </v:textbox>
                <w10:wrap type="none"/>
              </v:rect>
            </w:pict>
          </mc:Fallback>
        </mc:AlternateContent>
      </w:r>
    </w:p>
    <w:p>
      <w:pPr>
        <w:pStyle w:val="TextBody"/>
        <w:bidi w:val="0"/>
        <w:spacing w:lineRule="auto" w:line="276" w:before="0" w:after="0"/>
        <w:jc w:val="left"/>
        <w:rPr>
          <w:rFonts w:ascii="Times New Roman;sans-serif" w:hAnsi="Times New Roman;sans-serif"/>
          <w:b/>
          <w:color w:val="000000"/>
          <w:sz w:val="22"/>
          <w:shd w:fill="FFFFFF" w:val="clear"/>
        </w:rPr>
      </w:pPr>
      <w:r>
        <w:rPr>
          <w:rFonts w:ascii="Times New Roman;sans-serif" w:hAnsi="Times New Roman;sans-serif"/>
          <w:b/>
          <w:color w:val="000000"/>
          <w:sz w:val="22"/>
          <w:shd w:fill="FFFFFF" w:val="clear"/>
        </w:rPr>
        <w:t>Corporate</w:t>
      </w:r>
    </w:p>
    <w:p>
      <w:pPr>
        <w:pStyle w:val="TextBody"/>
        <w:bidi w:val="0"/>
        <w:spacing w:lineRule="auto" w:line="276" w:before="0" w:after="0"/>
        <w:ind w:left="0" w:right="0" w:hanging="360"/>
        <w:jc w:val="left"/>
        <w:rPr/>
      </w:pPr>
      <w:r>
        <w:rPr>
          <w:color w:val="000000"/>
        </w:rPr>
        <w:t>•</w:t>
      </w:r>
      <w:r>
        <w:rPr>
          <w:rFonts w:ascii="Times New Roman;sans-serif" w:hAnsi="Times New Roman;sans-serif"/>
          <w:b w:val="false"/>
          <w:color w:val="000000"/>
          <w:sz w:val="22"/>
        </w:rPr>
        <w:t>William G. Kachioff appointed as Chief Financial Officer</w:t>
      </w:r>
    </w:p>
    <w:p>
      <w:pPr>
        <w:pStyle w:val="TextBody"/>
        <w:bidi w:val="0"/>
        <w:spacing w:lineRule="auto" w:line="276" w:before="0" w:after="0"/>
        <w:ind w:left="0" w:right="0" w:hanging="360"/>
        <w:jc w:val="left"/>
        <w:rPr/>
      </w:pPr>
      <w:r>
        <w:rPr>
          <w:color w:val="000000"/>
        </w:rPr>
        <w:t>•</w:t>
      </w:r>
      <w:r>
        <w:rPr>
          <w:rFonts w:ascii="Times New Roman;sans-serif" w:hAnsi="Times New Roman;sans-serif"/>
          <w:b w:val="false"/>
          <w:color w:val="000000"/>
          <w:sz w:val="22"/>
        </w:rPr>
        <w:t>James A. Vollins appointed as General Counsel, Chief Compliance Officer and Corporate Secretary</w:t>
      </w:r>
    </w:p>
    <w:p>
      <w:pPr>
        <w:pStyle w:val="TextBody"/>
        <w:bidi w:val="0"/>
        <w:spacing w:before="0" w:after="0"/>
        <w:jc w:val="left"/>
        <w:rPr/>
      </w:pPr>
      <w:r>
        <w:rPr/>
      </w:r>
    </w:p>
    <w:p>
      <w:pPr>
        <w:pStyle w:val="TextBody"/>
        <w:bidi w:val="0"/>
        <w:spacing w:lineRule="auto" w:line="276" w:before="0" w:after="2"/>
        <w:jc w:val="left"/>
        <w:rPr>
          <w:rFonts w:ascii="Times New Roman;sans-serif" w:hAnsi="Times New Roman;sans-serif"/>
          <w:b/>
          <w:color w:val="000000"/>
          <w:sz w:val="22"/>
        </w:rPr>
      </w:pPr>
      <w:r>
        <w:rPr>
          <w:rFonts w:ascii="Times New Roman;sans-serif" w:hAnsi="Times New Roman;sans-serif"/>
          <w:b/>
          <w:color w:val="000000"/>
          <w:sz w:val="22"/>
        </w:rPr>
        <w:t>Financial Guidance</w:t>
      </w:r>
    </w:p>
    <w:p>
      <w:pPr>
        <w:pStyle w:val="TextBody"/>
        <w:bidi w:val="0"/>
        <w:spacing w:lineRule="auto" w:line="256" w:before="0" w:after="2"/>
        <w:ind w:left="0" w:right="0" w:hanging="360"/>
        <w:jc w:val="left"/>
        <w:rPr/>
      </w:pPr>
      <w:r>
        <w:rPr>
          <w:color w:val="000000"/>
        </w:rPr>
        <w:t>•</w:t>
      </w:r>
      <w:r>
        <w:rPr>
          <w:rFonts w:ascii="Times New Roman;sans-serif" w:hAnsi="Times New Roman;sans-serif"/>
          <w:b w:val="false"/>
          <w:color w:val="000000"/>
          <w:sz w:val="22"/>
        </w:rPr>
        <w:t>$75.3 million in cash, cash equivalents, and short-term debt securities as of March 31, 2023</w:t>
      </w:r>
    </w:p>
    <w:p>
      <w:pPr>
        <w:pStyle w:val="TextBody"/>
        <w:bidi w:val="0"/>
        <w:spacing w:before="0" w:after="0"/>
        <w:jc w:val="left"/>
        <w:rPr/>
      </w:pPr>
      <w:r>
        <w:rPr/>
      </w:r>
    </w:p>
    <w:p>
      <w:pPr>
        <w:pStyle w:val="TextBody"/>
        <w:bidi w:val="0"/>
        <w:spacing w:lineRule="auto" w:line="276" w:before="0" w:after="2"/>
        <w:jc w:val="left"/>
        <w:rPr>
          <w:rFonts w:ascii="Times New Roman;sans-serif" w:hAnsi="Times New Roman;sans-serif"/>
          <w:b/>
          <w:color w:val="000000"/>
          <w:sz w:val="22"/>
          <w:u w:val="single"/>
          <w:shd w:fill="FFFFFF" w:val="clear"/>
        </w:rPr>
      </w:pPr>
      <w:r>
        <w:rPr>
          <w:rFonts w:ascii="Times New Roman;sans-serif" w:hAnsi="Times New Roman;sans-serif"/>
          <w:b/>
          <w:color w:val="000000"/>
          <w:sz w:val="22"/>
          <w:u w:val="single"/>
          <w:shd w:fill="FFFFFF" w:val="clear"/>
        </w:rPr>
        <w:t>First Quarter 2023 Financial Results</w:t>
      </w:r>
    </w:p>
    <w:p>
      <w:pPr>
        <w:pStyle w:val="TextBody"/>
        <w:bidi w:val="0"/>
        <w:spacing w:before="0" w:after="2"/>
        <w:jc w:val="left"/>
        <w:rPr/>
      </w:pPr>
      <w:r>
        <w:rPr/>
      </w:r>
    </w:p>
    <w:p>
      <w:pPr>
        <w:pStyle w:val="TextBody"/>
        <w:bidi w:val="0"/>
        <w:spacing w:lineRule="auto" w:line="276" w:before="0" w:after="2"/>
        <w:jc w:val="left"/>
        <w:rPr/>
      </w:pPr>
      <w:r>
        <w:rPr>
          <w:rFonts w:ascii="Times New Roman;sans-serif" w:hAnsi="Times New Roman;sans-serif"/>
          <w:b w:val="false"/>
          <w:color w:val="000000"/>
          <w:sz w:val="22"/>
          <w:shd w:fill="FFFFFF" w:val="clear"/>
        </w:rPr>
        <w:t xml:space="preserve">Product revenue, net was </w:t>
      </w:r>
      <w:r>
        <w:rPr>
          <w:rFonts w:ascii="Times New Roman;sans-serif" w:hAnsi="Times New Roman;sans-serif"/>
          <w:b w:val="false"/>
          <w:color w:val="000000"/>
          <w:sz w:val="22"/>
        </w:rPr>
        <w:t>$4.1 million</w:t>
      </w:r>
      <w:r>
        <w:rPr>
          <w:color w:val="000000"/>
          <w:shd w:fill="FFFFFF" w:val="clear"/>
        </w:rPr>
        <w:t xml:space="preserve"> </w:t>
      </w:r>
      <w:r>
        <w:rPr>
          <w:rFonts w:ascii="Times New Roman;sans-serif" w:hAnsi="Times New Roman;sans-serif"/>
          <w:b w:val="false"/>
          <w:color w:val="000000"/>
          <w:sz w:val="22"/>
          <w:shd w:fill="FFFFFF" w:val="clear"/>
        </w:rPr>
        <w:t xml:space="preserve">for the first quarter of 2023, as compared to </w:t>
      </w:r>
      <w:r>
        <w:rPr>
          <w:rFonts w:ascii="Times New Roman;sans-serif" w:hAnsi="Times New Roman;sans-serif"/>
          <w:b w:val="false"/>
          <w:color w:val="000000"/>
          <w:sz w:val="22"/>
        </w:rPr>
        <w:t xml:space="preserve">$2.7 million </w:t>
      </w:r>
      <w:r>
        <w:rPr>
          <w:rFonts w:ascii="Times New Roman;sans-serif" w:hAnsi="Times New Roman;sans-serif"/>
          <w:b w:val="false"/>
          <w:color w:val="000000"/>
          <w:sz w:val="22"/>
          <w:shd w:fill="FFFFFF" w:val="clear"/>
        </w:rPr>
        <w:t>for the same period in 2022. The increase in product revenue was primarily due to higher sales in Germany, France ATU, and U.S during the quarter.</w:t>
      </w:r>
    </w:p>
    <w:p>
      <w:pPr>
        <w:pStyle w:val="TextBody"/>
        <w:bidi w:val="0"/>
        <w:spacing w:before="0" w:after="2"/>
        <w:jc w:val="left"/>
        <w:rPr/>
      </w:pPr>
      <w:r>
        <w:rPr/>
      </w:r>
    </w:p>
    <w:p>
      <w:pPr>
        <w:pStyle w:val="TextBody"/>
        <w:bidi w:val="0"/>
        <w:spacing w:lineRule="auto" w:line="276" w:before="0" w:after="2"/>
        <w:jc w:val="left"/>
        <w:rPr/>
      </w:pPr>
      <w:r>
        <w:rPr>
          <w:rFonts w:ascii="Times New Roman;sans-serif" w:hAnsi="Times New Roman;sans-serif"/>
          <w:b w:val="false"/>
          <w:color w:val="000000"/>
          <w:sz w:val="22"/>
          <w:shd w:fill="FFFFFF" w:val="clear"/>
        </w:rPr>
        <w:t>Cost of sales was flat for the three months ended March 31, 2023 compared to the same period in 2022</w:t>
      </w:r>
      <w:r>
        <w:rPr>
          <w:rFonts w:ascii="Times New Roman;sans-serif" w:hAnsi="Times New Roman;sans-serif"/>
          <w:b w:val="false"/>
          <w:color w:val="000000"/>
          <w:sz w:val="22"/>
        </w:rPr>
        <w:t>.</w:t>
      </w:r>
    </w:p>
    <w:p>
      <w:pPr>
        <w:pStyle w:val="TextBody"/>
        <w:bidi w:val="0"/>
        <w:spacing w:before="0" w:after="2"/>
        <w:jc w:val="left"/>
        <w:rPr/>
      </w:pPr>
      <w:r>
        <w:rPr/>
      </w:r>
    </w:p>
    <w:p>
      <w:pPr>
        <w:pStyle w:val="TextBody"/>
        <w:bidi w:val="0"/>
        <w:spacing w:lineRule="auto" w:line="276" w:before="0" w:after="2"/>
        <w:jc w:val="left"/>
        <w:rPr/>
      </w:pPr>
      <w:r>
        <w:rPr>
          <w:rFonts w:ascii="Times New Roman;sans-serif" w:hAnsi="Times New Roman;sans-serif"/>
          <w:b w:val="false"/>
          <w:color w:val="000000"/>
          <w:sz w:val="22"/>
          <w:shd w:fill="FFFFFF" w:val="clear"/>
        </w:rPr>
        <w:t xml:space="preserve">Research and Development expenses was $16.7 million for the first quarter of 2023, as compared to $17.6 million for the same period in 2022. The decrease was primarily driven by a decrease in milestone expense related to the Phase 3 </w:t>
      </w:r>
      <w:r>
        <w:rPr>
          <w:rFonts w:ascii="Times New Roman;sans-serif" w:hAnsi="Times New Roman;sans-serif"/>
          <w:b w:val="false"/>
          <w:i/>
          <w:color w:val="000000"/>
          <w:sz w:val="22"/>
          <w:shd w:fill="FFFFFF" w:val="clear"/>
        </w:rPr>
        <w:t>LIMT-2</w:t>
      </w:r>
      <w:r>
        <w:rPr>
          <w:color w:val="000000"/>
          <w:shd w:fill="FFFFFF" w:val="clear"/>
        </w:rPr>
        <w:t xml:space="preserve"> </w:t>
      </w:r>
      <w:r>
        <w:rPr>
          <w:rFonts w:ascii="Times New Roman;sans-serif" w:hAnsi="Times New Roman;sans-serif"/>
          <w:b w:val="false"/>
          <w:color w:val="000000"/>
          <w:sz w:val="22"/>
          <w:shd w:fill="FFFFFF" w:val="clear"/>
        </w:rPr>
        <w:t>study of peginterferon lambda for HDV under the BMS License Agreement, which occurred in March 2022, and a decrease in outside services across programs including consulting and advisory services. These decreases were partially offset by an increase in clinical and contract manufacturing expenditures, an increase in headcount related expenses, including stock-based compensation, and an increase in operational overhead costs.</w:t>
      </w:r>
    </w:p>
    <w:p>
      <w:pPr>
        <w:pStyle w:val="TextBody"/>
        <w:bidi w:val="0"/>
        <w:spacing w:before="0" w:after="2"/>
        <w:jc w:val="left"/>
        <w:rPr/>
      </w:pPr>
      <w:r>
        <w:rPr/>
      </w:r>
    </w:p>
    <w:p>
      <w:pPr>
        <w:pStyle w:val="TextBody"/>
        <w:bidi w:val="0"/>
        <w:spacing w:lineRule="auto" w:line="276" w:before="0" w:after="2"/>
        <w:jc w:val="left"/>
        <w:rPr/>
      </w:pPr>
      <w:r>
        <w:rPr>
          <w:rFonts w:ascii="Times New Roman;sans-serif" w:hAnsi="Times New Roman;sans-serif"/>
          <w:b w:val="false"/>
          <w:color w:val="000000"/>
          <w:sz w:val="22"/>
          <w:shd w:fill="FFFFFF" w:val="clear"/>
        </w:rPr>
        <w:t xml:space="preserve">Selling, General and Administrative expenses was </w:t>
      </w:r>
      <w:r>
        <w:rPr>
          <w:rFonts w:ascii="Times New Roman;sans-serif" w:hAnsi="Times New Roman;sans-serif"/>
          <w:b w:val="false"/>
          <w:color w:val="000000"/>
          <w:sz w:val="22"/>
        </w:rPr>
        <w:t>$9.5 million</w:t>
      </w:r>
      <w:r>
        <w:rPr>
          <w:color w:val="000000"/>
          <w:shd w:fill="FFFFFF" w:val="clear"/>
        </w:rPr>
        <w:t xml:space="preserve"> </w:t>
      </w:r>
      <w:r>
        <w:rPr>
          <w:rFonts w:ascii="Times New Roman;sans-serif" w:hAnsi="Times New Roman;sans-serif"/>
          <w:b w:val="false"/>
          <w:color w:val="000000"/>
          <w:sz w:val="22"/>
          <w:shd w:fill="FFFFFF" w:val="clear"/>
        </w:rPr>
        <w:t xml:space="preserve">for the first quarter of 2023, as compared to </w:t>
      </w:r>
      <w:r>
        <w:rPr>
          <w:rFonts w:ascii="Times New Roman;sans-serif" w:hAnsi="Times New Roman;sans-serif"/>
          <w:b w:val="false"/>
          <w:color w:val="000000"/>
          <w:sz w:val="22"/>
        </w:rPr>
        <w:t>$6.8 million</w:t>
      </w:r>
      <w:r>
        <w:rPr>
          <w:color w:val="000000"/>
          <w:shd w:fill="FFFFFF" w:val="clear"/>
        </w:rPr>
        <w:t xml:space="preserve"> </w:t>
      </w:r>
      <w:r>
        <w:rPr>
          <w:rFonts w:ascii="Times New Roman;sans-serif" w:hAnsi="Times New Roman;sans-serif"/>
          <w:b w:val="false"/>
          <w:color w:val="000000"/>
          <w:sz w:val="22"/>
          <w:shd w:fill="FFFFFF" w:val="clear"/>
        </w:rPr>
        <w:t>for the same period in 2022. The increase primarily relates to an increase in outside services, including consulting, advisory and accounting services, an increase in compensation and personnel related expenses, including stock-based compensation, and an increase in other operating expenses, all to support Company operations.</w:t>
      </w:r>
    </w:p>
    <w:p>
      <w:pPr>
        <w:pStyle w:val="TextBody"/>
        <w:bidi w:val="0"/>
        <w:spacing w:before="0" w:after="2"/>
        <w:jc w:val="left"/>
        <w:rPr/>
      </w:pPr>
      <w:r>
        <w:rPr/>
      </w:r>
    </w:p>
    <w:p>
      <w:pPr>
        <w:pStyle w:val="TextBody"/>
        <w:bidi w:val="0"/>
        <w:spacing w:lineRule="auto" w:line="276" w:before="0" w:after="2"/>
        <w:jc w:val="left"/>
        <w:rPr/>
      </w:pPr>
      <w:r>
        <w:rPr>
          <w:rFonts w:ascii="Times New Roman;sans-serif" w:hAnsi="Times New Roman;sans-serif"/>
          <w:b w:val="false"/>
          <w:color w:val="000000"/>
          <w:sz w:val="22"/>
          <w:shd w:fill="FFFFFF" w:val="clear"/>
        </w:rPr>
        <w:t xml:space="preserve">Total operating expenses include non-cash expenses of </w:t>
      </w:r>
      <w:r>
        <w:rPr>
          <w:rFonts w:ascii="Times New Roman;sans-serif" w:hAnsi="Times New Roman;sans-serif"/>
          <w:b w:val="false"/>
          <w:color w:val="000000"/>
          <w:sz w:val="22"/>
        </w:rPr>
        <w:t>$2.7 million</w:t>
      </w:r>
      <w:r>
        <w:rPr>
          <w:color w:val="000000"/>
          <w:shd w:fill="FFFFFF" w:val="clear"/>
        </w:rPr>
        <w:t xml:space="preserve"> </w:t>
      </w:r>
      <w:r>
        <w:rPr>
          <w:rFonts w:ascii="Times New Roman;sans-serif" w:hAnsi="Times New Roman;sans-serif"/>
          <w:b w:val="false"/>
          <w:color w:val="000000"/>
          <w:sz w:val="22"/>
          <w:shd w:fill="FFFFFF" w:val="clear"/>
        </w:rPr>
        <w:t xml:space="preserve">for the first quarter of 2023, as compared to </w:t>
      </w:r>
      <w:r>
        <w:rPr>
          <w:rFonts w:ascii="Times New Roman;sans-serif" w:hAnsi="Times New Roman;sans-serif"/>
          <w:b w:val="false"/>
          <w:color w:val="000000"/>
          <w:sz w:val="22"/>
        </w:rPr>
        <w:t>$2.8 million</w:t>
      </w:r>
      <w:r>
        <w:rPr>
          <w:color w:val="000000"/>
          <w:shd w:fill="FFFFFF" w:val="clear"/>
        </w:rPr>
        <w:t xml:space="preserve"> </w:t>
      </w:r>
      <w:r>
        <w:rPr>
          <w:rFonts w:ascii="Times New Roman;sans-serif" w:hAnsi="Times New Roman;sans-serif"/>
          <w:b w:val="false"/>
          <w:color w:val="000000"/>
          <w:sz w:val="22"/>
          <w:shd w:fill="FFFFFF" w:val="clear"/>
        </w:rPr>
        <w:t>for the same period in 2022.</w:t>
      </w:r>
    </w:p>
    <w:p>
      <w:pPr>
        <w:pStyle w:val="TextBody"/>
        <w:bidi w:val="0"/>
        <w:spacing w:before="0" w:after="2"/>
        <w:jc w:val="left"/>
        <w:rPr/>
      </w:pPr>
      <w:r>
        <w:rPr/>
      </w:r>
    </w:p>
    <w:p>
      <w:pPr>
        <w:pStyle w:val="TextBody"/>
        <w:bidi w:val="0"/>
        <w:spacing w:lineRule="auto" w:line="276" w:before="0" w:after="2"/>
        <w:jc w:val="left"/>
        <w:rPr/>
      </w:pPr>
      <w:r>
        <w:rPr>
          <w:rFonts w:ascii="Times New Roman;sans-serif" w:hAnsi="Times New Roman;sans-serif"/>
          <w:b w:val="false"/>
          <w:color w:val="000000"/>
          <w:sz w:val="22"/>
          <w:shd w:fill="FFFFFF" w:val="clear"/>
        </w:rPr>
        <w:t xml:space="preserve">The Company reported a net loss of </w:t>
      </w:r>
      <w:r>
        <w:rPr>
          <w:rFonts w:ascii="Times New Roman;sans-serif" w:hAnsi="Times New Roman;sans-serif"/>
          <w:b w:val="false"/>
          <w:color w:val="000000"/>
          <w:sz w:val="22"/>
        </w:rPr>
        <w:t>$22.8 million</w:t>
      </w:r>
      <w:r>
        <w:rPr>
          <w:rFonts w:ascii="Times New Roman;sans-serif" w:hAnsi="Times New Roman;sans-serif"/>
          <w:b w:val="false"/>
          <w:color w:val="000000"/>
          <w:sz w:val="22"/>
          <w:shd w:fill="FFFFFF" w:val="clear"/>
        </w:rPr>
        <w:t xml:space="preserve">, or $0.52 per share basis for the first quarter of 2023. This compares to a net loss of </w:t>
      </w:r>
      <w:r>
        <w:rPr>
          <w:rFonts w:ascii="Times New Roman;sans-serif" w:hAnsi="Times New Roman;sans-serif"/>
          <w:b w:val="false"/>
          <w:color w:val="000000"/>
          <w:sz w:val="22"/>
        </w:rPr>
        <w:t>$22.6 million</w:t>
      </w:r>
      <w:r>
        <w:rPr>
          <w:rFonts w:ascii="Times New Roman;sans-serif" w:hAnsi="Times New Roman;sans-serif"/>
          <w:b w:val="false"/>
          <w:color w:val="000000"/>
          <w:sz w:val="22"/>
          <w:shd w:fill="FFFFFF" w:val="clear"/>
        </w:rPr>
        <w:t>, or $0.64 per share basis for the same period in 2022.</w:t>
      </w:r>
    </w:p>
    <w:p>
      <w:pPr>
        <w:pStyle w:val="TextBody"/>
        <w:bidi w:val="0"/>
        <w:spacing w:before="0" w:after="2"/>
        <w:jc w:val="left"/>
        <w:rPr/>
      </w:pPr>
      <w:r>
        <w:rPr/>
      </w:r>
    </w:p>
    <w:p>
      <w:pPr>
        <w:pStyle w:val="TextBody"/>
        <w:bidi w:val="0"/>
        <w:spacing w:lineRule="auto" w:line="276" w:before="0" w:after="2"/>
        <w:jc w:val="left"/>
        <w:rPr/>
      </w:pPr>
      <w:r>
        <w:rPr>
          <w:rFonts w:ascii="Times New Roman;sans-serif" w:hAnsi="Times New Roman;sans-serif"/>
          <w:b w:val="false"/>
          <w:color w:val="000000"/>
          <w:sz w:val="22"/>
          <w:shd w:fill="FFFFFF" w:val="clear"/>
        </w:rPr>
        <w:t xml:space="preserve">Cash, cash equivalents, and short-term debt securities as of </w:t>
      </w:r>
      <w:r>
        <w:rPr>
          <w:rFonts w:ascii="Times New Roman;sans-serif" w:hAnsi="Times New Roman;sans-serif"/>
          <w:b w:val="false"/>
          <w:color w:val="000000"/>
          <w:sz w:val="22"/>
        </w:rPr>
        <w:t>March 31, 2023</w:t>
      </w:r>
      <w:r>
        <w:rPr>
          <w:color w:val="000000"/>
          <w:shd w:fill="FFFFFF" w:val="clear"/>
        </w:rPr>
        <w:t xml:space="preserve"> </w:t>
      </w:r>
      <w:r>
        <w:rPr>
          <w:rFonts w:ascii="Times New Roman;sans-serif" w:hAnsi="Times New Roman;sans-serif"/>
          <w:b w:val="false"/>
          <w:color w:val="000000"/>
          <w:sz w:val="22"/>
          <w:shd w:fill="FFFFFF" w:val="clear"/>
        </w:rPr>
        <w:t xml:space="preserve">totaled </w:t>
      </w:r>
      <w:r>
        <w:rPr>
          <w:rFonts w:ascii="Times New Roman;sans-serif" w:hAnsi="Times New Roman;sans-serif"/>
          <w:b w:val="false"/>
          <w:color w:val="000000"/>
          <w:sz w:val="22"/>
        </w:rPr>
        <w:t>$75.3 million</w:t>
      </w:r>
      <w:r>
        <w:rPr>
          <w:color w:val="000000"/>
          <w:shd w:fill="FFFFFF" w:val="clear"/>
        </w:rPr>
        <w:t xml:space="preserve"> </w:t>
      </w:r>
      <w:r>
        <w:rPr>
          <w:rFonts w:ascii="Times New Roman;sans-serif" w:hAnsi="Times New Roman;sans-serif"/>
          <w:b w:val="false"/>
          <w:color w:val="000000"/>
          <w:sz w:val="22"/>
          <w:shd w:fill="FFFFFF" w:val="clear"/>
        </w:rPr>
        <w:t xml:space="preserve">compared to $98.9 million as of December 31, 2022. </w:t>
      </w:r>
    </w:p>
    <w:p>
      <w:pPr>
        <w:pStyle w:val="TextBody"/>
        <w:bidi w:val="0"/>
        <w:spacing w:before="0" w:after="2"/>
        <w:jc w:val="left"/>
        <w:rPr/>
      </w:pPr>
      <w:r>
        <w:rPr/>
      </w:r>
    </w:p>
    <w:p>
      <w:pPr>
        <w:pStyle w:val="TextBody"/>
        <w:bidi w:val="0"/>
        <w:spacing w:lineRule="auto" w:line="276" w:before="0" w:after="2"/>
        <w:jc w:val="left"/>
        <w:rPr/>
      </w:pPr>
      <w:r>
        <w:rPr>
          <w:rFonts w:ascii="Times New Roman;sans-serif" w:hAnsi="Times New Roman;sans-serif"/>
          <w:b w:val="false"/>
          <w:color w:val="000000"/>
          <w:sz w:val="22"/>
          <w:shd w:fill="FFFFFF" w:val="clear"/>
        </w:rPr>
        <w:t xml:space="preserve">As of </w:t>
      </w:r>
      <w:r>
        <w:rPr>
          <w:rFonts w:ascii="Times New Roman;sans-serif" w:hAnsi="Times New Roman;sans-serif"/>
          <w:b w:val="false"/>
          <w:color w:val="000000"/>
          <w:sz w:val="22"/>
        </w:rPr>
        <w:t>March 31, 2023</w:t>
      </w:r>
      <w:r>
        <w:rPr>
          <w:rFonts w:ascii="Times New Roman;sans-serif" w:hAnsi="Times New Roman;sans-serif"/>
          <w:b w:val="false"/>
          <w:color w:val="000000"/>
          <w:sz w:val="22"/>
          <w:shd w:fill="FFFFFF" w:val="clear"/>
        </w:rPr>
        <w:t>, the Company had 44,296,417 common shares outstanding.</w:t>
      </w:r>
    </w:p>
    <w:p>
      <w:pPr>
        <w:pStyle w:val="TextBody"/>
        <w:bidi w:val="0"/>
        <w:spacing w:before="0" w:after="2"/>
        <w:jc w:val="left"/>
        <w:rPr/>
      </w:pPr>
      <w:r>
        <w:rPr/>
      </w:r>
    </w:p>
    <w:p>
      <w:pPr>
        <w:pStyle w:val="TextBody"/>
        <w:bidi w:val="0"/>
        <w:spacing w:lineRule="auto" w:line="256" w:before="0" w:after="2"/>
        <w:jc w:val="left"/>
        <w:rPr/>
      </w:pPr>
      <w:r>
        <w:rPr>
          <w:rFonts w:ascii="Times New Roman;sans-serif" w:hAnsi="Times New Roman;sans-serif"/>
          <w:b/>
          <w:color w:val="000000"/>
          <w:sz w:val="22"/>
          <w:shd w:fill="FFFFFF" w:val="clear"/>
        </w:rPr>
        <w:t>About Eiger</w:t>
      </w:r>
      <w:r>
        <w:rPr>
          <w:color w:val="000000"/>
          <w:shd w:fill="FFFFFF" w:val="clear"/>
        </w:rPr>
        <w:t xml:space="preserve"> </w:t>
      </w:r>
      <w:r>
        <w:rPr>
          <w:rFonts w:ascii="Times New Roman;sans-serif" w:hAnsi="Times New Roman;sans-serif"/>
          <w:b w:val="false"/>
          <w:color w:val="000000"/>
          <w:sz w:val="22"/>
          <w:shd w:fill="FFFFFF" w:val="clear"/>
        </w:rPr>
        <w:br/>
      </w:r>
      <w:r>
        <w:rPr>
          <w:rFonts w:ascii="Times New Roman;sans-serif" w:hAnsi="Times New Roman;sans-serif"/>
          <w:b w:val="false"/>
          <w:color w:val="000000"/>
          <w:sz w:val="22"/>
        </w:rPr>
        <w:t>Eiger is a commercial-stage biopharmaceutical company focused on the development of innovative therapies for hepatitis delta virus (HDV) and other serious rare diseases. The Eiger HDV platform includes two first-in-class therapies in Phase 3 that target critical host processes involved in viral replication. All five Eiger rare disease programs have been granted FDA Breakthrough Therapy Designation.</w:t>
      </w:r>
    </w:p>
    <w:p>
      <w:pPr>
        <w:pStyle w:val="TextBody"/>
        <w:bidi w:val="0"/>
        <w:spacing w:before="0" w:after="2"/>
        <w:jc w:val="left"/>
        <w:rPr/>
      </w:pPr>
      <w:r>
        <w:rPr/>
      </w:r>
    </w:p>
    <w:p>
      <w:pPr>
        <w:pStyle w:val="TextBody"/>
        <w:bidi w:val="0"/>
        <w:spacing w:lineRule="auto" w:line="276" w:before="0" w:after="2"/>
        <w:jc w:val="left"/>
        <w:rPr/>
      </w:pPr>
      <w:r>
        <w:rPr>
          <w:rFonts w:ascii="Times New Roman;sans-serif" w:hAnsi="Times New Roman;sans-serif"/>
          <w:b w:val="false"/>
          <w:color w:val="000000"/>
          <w:sz w:val="22"/>
        </w:rPr>
        <w:t xml:space="preserve">For additional information about Eiger and its clinical programs, please visit </w:t>
      </w:r>
      <w:r>
        <w:rPr>
          <w:rFonts w:ascii="Times New Roman;sans-serif" w:hAnsi="Times New Roman;sans-serif"/>
          <w:b w:val="false"/>
          <w:color w:val="3051F2"/>
          <w:sz w:val="22"/>
          <w:u w:val="single"/>
        </w:rPr>
        <w:t>www.eigerbio.com</w:t>
      </w:r>
      <w:r>
        <w:rPr>
          <w:rFonts w:ascii="Times New Roman;sans-serif" w:hAnsi="Times New Roman;sans-serif"/>
          <w:b w:val="false"/>
          <w:color w:val="000000"/>
          <w:sz w:val="22"/>
        </w:rPr>
        <w:t>.</w:t>
      </w:r>
    </w:p>
    <w:p>
      <w:pPr>
        <w:pStyle w:val="TextBody"/>
        <w:bidi w:val="0"/>
        <w:spacing w:before="0" w:after="2"/>
        <w:jc w:val="left"/>
        <w:rPr/>
      </w:pPr>
      <w:r>
        <w:rPr/>
      </w:r>
    </w:p>
    <w:p>
      <w:pPr>
        <w:pStyle w:val="TextBody"/>
        <w:bidi w:val="0"/>
        <w:spacing w:lineRule="auto" w:line="276" w:before="0" w:after="2"/>
        <w:jc w:val="left"/>
        <w:rPr>
          <w:rFonts w:ascii="Times New Roman;sans-serif" w:hAnsi="Times New Roman;sans-serif"/>
          <w:b/>
          <w:color w:val="000000"/>
          <w:sz w:val="22"/>
        </w:rPr>
      </w:pPr>
      <w:r>
        <w:rPr>
          <w:rFonts w:ascii="Times New Roman;sans-serif" w:hAnsi="Times New Roman;sans-serif"/>
          <w:b/>
          <w:color w:val="000000"/>
          <w:sz w:val="22"/>
        </w:rPr>
        <w:t>Note Regarding Forward-Looking Statements</w:t>
      </w:r>
    </w:p>
    <w:p>
      <w:pPr>
        <w:pStyle w:val="TextBody"/>
        <w:bidi w:val="0"/>
        <w:spacing w:lineRule="auto" w:line="268"/>
        <w:jc w:val="left"/>
        <w:rPr>
          <w:rFonts w:ascii="Times New Roman;sans-serif" w:hAnsi="Times New Roman;sans-serif"/>
          <w:b w:val="false"/>
          <w:color w:val="000000"/>
          <w:sz w:val="22"/>
        </w:rPr>
      </w:pPr>
      <w:r>
        <w:rPr>
          <w:rFonts w:ascii="Times New Roman;sans-serif" w:hAnsi="Times New Roman;sans-serif"/>
          <w:b w:val="false"/>
          <w:color w:val="000000"/>
          <w:sz w:val="22"/>
        </w:rPr>
        <w:t xml:space="preserve">This press release contains forward-looking statements within the meaning of the safe harbor provisions of the Private Securities Litigation Reform Act of 1995. All statements other than statements of historical facts, including statements regarding our future financial condition, timing for and outcomes of clinical results, prospective products, preclinical and clinical pipelines, regulatory objectives, business strategy and plans and objectives for future operations, are forward-looking statements. Forward-looking statements are our current statements regarding our intentions, beliefs, projections, outlook, analyses or current expectations concerning, among other things, the timing of our ongoing and planned clinical development; the sufficiency of our cash, </w:t>
      </w:r>
    </w:p>
    <w:p>
      <w:pPr>
        <w:pStyle w:val="TextBody"/>
        <w:bidi w:val="0"/>
        <w:spacing w:before="0" w:after="2"/>
        <w:jc w:val="left"/>
        <w:rPr/>
      </w:pPr>
      <w:r>
        <w:rPr/>
      </w:r>
      <w:r>
        <mc:AlternateContent>
          <mc:Choice Requires="wps">
            <w:drawing>
              <wp:anchor behindDoc="0" distT="0" distB="0" distL="0" distR="0" simplePos="0" locked="0" layoutInCell="1" allowOverlap="1" relativeHeight="8">
                <wp:simplePos x="0" y="0"/>
                <wp:positionH relativeFrom="character">
                  <wp:align>left</wp:align>
                </wp:positionH>
                <wp:positionV relativeFrom="line">
                  <wp:posOffset>635</wp:posOffset>
                </wp:positionV>
                <wp:extent cx="6480175" cy="175260"/>
                <wp:effectExtent l="0" t="0" r="0" b="0"/>
                <wp:wrapNone/>
                <wp:docPr id="6" name="Frame5"/>
                <a:graphic xmlns:a="http://schemas.openxmlformats.org/drawingml/2006/main">
                  <a:graphicData uri="http://schemas.microsoft.com/office/word/2010/wordprocessingShape">
                    <wps:wsp>
                      <wps:cNvSpPr txBox="1"/>
                      <wps:spPr>
                        <a:xfrm>
                          <a:off x="0" y="0"/>
                          <a:ext cx="6480175" cy="175260"/>
                        </a:xfrm>
                        <a:prstGeom prst="rect"/>
                        <a:solidFill>
                          <a:srgbClr val="FFFFFF"/>
                        </a:solidFill>
                      </wps:spPr>
                      <wps:txbx>
                        <w:txbxContent>
                          <w:p>
                            <w:pPr>
                              <w:pStyle w:val="TextBody"/>
                              <w:bidi w:val="0"/>
                              <w:spacing w:before="0" w:after="2"/>
                              <w:jc w:val="left"/>
                              <w:rPr/>
                            </w:pPr>
                            <w:r>
                              <w:rPr/>
                            </w:r>
                            <w:r>
                              <w:br w:type="page"/>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
                        <w:jc w:val="left"/>
                        <w:rPr/>
                      </w:pPr>
                      <w:r>
                        <w:rPr/>
                      </w:r>
                    </w:p>
                  </w:txbxContent>
                </v:textbox>
                <w10:wrap type="none"/>
              </v:rect>
            </w:pict>
          </mc:Fallback>
        </mc:AlternateContent>
      </w:r>
    </w:p>
    <w:p>
      <w:pPr>
        <w:pStyle w:val="TextBody"/>
        <w:bidi w:val="0"/>
        <w:spacing w:lineRule="auto" w:line="268" w:before="0" w:after="0"/>
        <w:jc w:val="left"/>
        <w:rPr/>
      </w:pPr>
      <w:r>
        <w:rPr>
          <w:rFonts w:ascii="Times New Roman;sans-serif" w:hAnsi="Times New Roman;sans-serif"/>
          <w:b w:val="false"/>
          <w:color w:val="000000"/>
          <w:sz w:val="22"/>
        </w:rPr>
        <w:t>cash equivalents and short-term debt securities to fund our operations; expectations regarding the timing and availability of topline data from our Phase 3 D-LIVR study in HDV; the timing of interactions with the FDA; the ability to fully enroll the Phase 3 LIMT-2 study and Phase 3 AVANT study; our capability to provide sufficient quantities of any of our products or product candidates, including peginterferon lambda, for studies or to meet anticipated full-scale commercial demands; our ability to finance, independently or through collaborations, the continued advancement of our development pipeline; and the potential for success of any of our products or product candidates. Various important factors could cause actual results or events to differ materially from the forward-looking statements that Eiger makes, including additional applicable risks and uncertainties described in the "Risk Factors" sections in the Quarterly Report on Form 10-Q for the quarter ended March 31, 2023 and Eiger</w:t>
      </w:r>
      <w:r>
        <w:rPr>
          <w:color w:val="000000"/>
          <w:shd w:fill="FFFFFF" w:val="clear"/>
        </w:rPr>
        <w:t>’</w:t>
      </w:r>
      <w:r>
        <w:rPr>
          <w:rFonts w:ascii="Times New Roman;sans-serif" w:hAnsi="Times New Roman;sans-serif"/>
          <w:b w:val="false"/>
          <w:color w:val="000000"/>
          <w:sz w:val="22"/>
        </w:rPr>
        <w:t>s subsequent filings with the SEC. The forward-looking statements contained in this press release are based on information currently available to Eiger and speak only as of the date on which they are made. Eiger does not undertake and specifically disclaims any obligation to update any forward-looking statements, whether as a result of any new information, future events, changed circumstances or otherwise.</w:t>
      </w:r>
    </w:p>
    <w:p>
      <w:pPr>
        <w:pStyle w:val="TextBody"/>
        <w:bidi w:val="0"/>
        <w:spacing w:before="0" w:after="2"/>
        <w:jc w:val="left"/>
        <w:rPr/>
      </w:pPr>
      <w:r>
        <w:rPr/>
      </w:r>
    </w:p>
    <w:p>
      <w:pPr>
        <w:pStyle w:val="TextBody"/>
        <w:bidi w:val="0"/>
        <w:spacing w:before="0" w:after="2"/>
        <w:jc w:val="left"/>
        <w:rPr/>
      </w:pPr>
      <w:r>
        <w:rPr/>
      </w:r>
    </w:p>
    <w:p>
      <w:pPr>
        <w:pStyle w:val="TextBody"/>
        <w:bidi w:val="0"/>
        <w:spacing w:before="0" w:after="2"/>
        <w:jc w:val="left"/>
        <w:rPr/>
      </w:pPr>
      <w:r>
        <w:rPr/>
      </w:r>
    </w:p>
    <w:p>
      <w:pPr>
        <w:pStyle w:val="TextBody"/>
        <w:bidi w:val="0"/>
        <w:spacing w:before="0" w:after="2"/>
        <w:jc w:val="left"/>
        <w:rPr/>
      </w:pPr>
      <w:r>
        <w:rPr/>
      </w:r>
    </w:p>
    <w:p>
      <w:pPr>
        <w:pStyle w:val="TextBody"/>
        <w:bidi w:val="0"/>
        <w:spacing w:lineRule="auto" w:line="312" w:before="0" w:after="2"/>
        <w:jc w:val="left"/>
        <w:rPr>
          <w:rFonts w:ascii="Times New Roman;sans-serif" w:hAnsi="Times New Roman;sans-serif"/>
          <w:b w:val="false"/>
          <w:color w:val="000000"/>
          <w:sz w:val="22"/>
        </w:rPr>
      </w:pPr>
      <w:r>
        <w:rPr>
          <w:rFonts w:ascii="Times New Roman;sans-serif" w:hAnsi="Times New Roman;sans-serif"/>
          <w:b w:val="false"/>
          <w:color w:val="000000"/>
          <w:sz w:val="22"/>
        </w:rPr>
        <w:t>Investors:</w:t>
      </w:r>
    </w:p>
    <w:p>
      <w:pPr>
        <w:pStyle w:val="TextBody"/>
        <w:bidi w:val="0"/>
        <w:spacing w:lineRule="auto" w:line="256" w:before="0" w:after="2"/>
        <w:jc w:val="left"/>
        <w:rPr>
          <w:rFonts w:ascii="Times New Roman;sans-serif" w:hAnsi="Times New Roman;sans-serif"/>
          <w:b w:val="false"/>
          <w:color w:val="000000"/>
          <w:sz w:val="22"/>
        </w:rPr>
      </w:pPr>
      <w:r>
        <w:rPr>
          <w:rFonts w:ascii="Times New Roman;sans-serif" w:hAnsi="Times New Roman;sans-serif"/>
          <w:b w:val="false"/>
          <w:color w:val="000000"/>
          <w:sz w:val="22"/>
        </w:rPr>
        <w:t>Sylvia Wheeler</w:t>
      </w:r>
    </w:p>
    <w:p>
      <w:pPr>
        <w:pStyle w:val="TextBody"/>
        <w:bidi w:val="0"/>
        <w:spacing w:lineRule="auto" w:line="256" w:before="0" w:after="2"/>
        <w:jc w:val="left"/>
        <w:rPr>
          <w:rFonts w:ascii="Times New Roman;sans-serif" w:hAnsi="Times New Roman;sans-serif"/>
          <w:b w:val="false"/>
          <w:color w:val="000000"/>
          <w:sz w:val="22"/>
        </w:rPr>
      </w:pPr>
      <w:r>
        <w:rPr>
          <w:rFonts w:ascii="Times New Roman;sans-serif" w:hAnsi="Times New Roman;sans-serif"/>
          <w:b w:val="false"/>
          <w:color w:val="000000"/>
          <w:sz w:val="22"/>
        </w:rPr>
        <w:t>Wheelhouse Life Science Advisors</w:t>
      </w:r>
    </w:p>
    <w:p>
      <w:pPr>
        <w:pStyle w:val="TextBody"/>
        <w:bidi w:val="0"/>
        <w:spacing w:lineRule="auto" w:line="256" w:before="0" w:after="2"/>
        <w:jc w:val="left"/>
        <w:rPr/>
      </w:pPr>
      <w:r>
        <w:rPr>
          <w:rFonts w:ascii="Times New Roman;sans-serif" w:hAnsi="Times New Roman;sans-serif"/>
          <w:b w:val="false"/>
          <w:color w:val="0563C1"/>
          <w:sz w:val="22"/>
          <w:shd w:fill="FFFFFF" w:val="clear"/>
        </w:rPr>
        <w:t>swheeler@wheelhouselsa.com</w:t>
      </w:r>
      <w:r>
        <w:rPr>
          <w:color w:val="000000"/>
          <w:shd w:fill="FFFFFF" w:val="clear"/>
        </w:rPr>
        <w:t xml:space="preserve"> </w:t>
      </w:r>
    </w:p>
    <w:p>
      <w:pPr>
        <w:pStyle w:val="TextBody"/>
        <w:bidi w:val="0"/>
        <w:spacing w:before="0" w:after="2"/>
        <w:jc w:val="left"/>
        <w:rPr/>
      </w:pPr>
      <w:r>
        <w:rPr/>
      </w:r>
    </w:p>
    <w:p>
      <w:pPr>
        <w:pStyle w:val="TextBody"/>
        <w:bidi w:val="0"/>
        <w:spacing w:lineRule="auto" w:line="256" w:before="0" w:after="2"/>
        <w:jc w:val="left"/>
        <w:rPr>
          <w:rFonts w:ascii="Times New Roman;sans-serif" w:hAnsi="Times New Roman;sans-serif"/>
          <w:b w:val="false"/>
          <w:color w:val="000000"/>
          <w:sz w:val="22"/>
          <w:shd w:fill="FFFFFF" w:val="clear"/>
        </w:rPr>
      </w:pPr>
      <w:r>
        <w:rPr>
          <w:rFonts w:ascii="Times New Roman;sans-serif" w:hAnsi="Times New Roman;sans-serif"/>
          <w:b w:val="false"/>
          <w:color w:val="000000"/>
          <w:sz w:val="22"/>
          <w:shd w:fill="FFFFFF" w:val="clear"/>
        </w:rPr>
        <w:t>Media:</w:t>
      </w:r>
    </w:p>
    <w:p>
      <w:pPr>
        <w:pStyle w:val="TextBody"/>
        <w:bidi w:val="0"/>
        <w:spacing w:lineRule="auto" w:line="26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Aljanae Reynolds</w:t>
      </w:r>
    </w:p>
    <w:p>
      <w:pPr>
        <w:pStyle w:val="TextBody"/>
        <w:bidi w:val="0"/>
        <w:spacing w:lineRule="auto" w:line="26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 xml:space="preserve">Wheelhouse Life Science Advisors </w:t>
      </w:r>
    </w:p>
    <w:p>
      <w:pPr>
        <w:pStyle w:val="TextBody"/>
        <w:bidi w:val="0"/>
        <w:spacing w:lineRule="auto" w:line="268" w:before="0" w:after="0"/>
        <w:jc w:val="left"/>
        <w:rPr>
          <w:rFonts w:ascii="Times New Roman;sans-serif" w:hAnsi="Times New Roman;sans-serif"/>
          <w:b w:val="false"/>
          <w:color w:val="0078D7"/>
          <w:sz w:val="22"/>
        </w:rPr>
      </w:pPr>
      <w:r>
        <w:rPr>
          <w:rFonts w:ascii="Times New Roman;sans-serif" w:hAnsi="Times New Roman;sans-serif"/>
          <w:b w:val="false"/>
          <w:color w:val="0078D7"/>
          <w:sz w:val="22"/>
        </w:rPr>
        <w:t>areynolds@wheelhouselsa.com</w:t>
      </w:r>
    </w:p>
    <w:p>
      <w:pPr>
        <w:pStyle w:val="TextBody"/>
        <w:bidi w:val="0"/>
        <w:spacing w:before="0" w:after="2"/>
        <w:jc w:val="left"/>
        <w:rPr/>
      </w:pPr>
      <w:r>
        <w:rPr/>
      </w:r>
    </w:p>
    <w:p>
      <w:pPr>
        <w:pStyle w:val="TextBody"/>
        <w:bidi w:val="0"/>
        <w:spacing w:before="0" w:after="2"/>
        <w:jc w:val="left"/>
        <w:rPr/>
      </w:pPr>
      <w:r>
        <w:rPr/>
        <w:drawing>
          <wp:inline distT="0" distB="0" distL="0" distR="0">
            <wp:extent cx="3409950" cy="1000125"/>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3"/>
                    <a:stretch>
                      <a:fillRect/>
                    </a:stretch>
                  </pic:blipFill>
                  <pic:spPr bwMode="auto">
                    <a:xfrm>
                      <a:off x="0" y="0"/>
                      <a:ext cx="3409950" cy="1000125"/>
                    </a:xfrm>
                    <a:prstGeom prst="rect">
                      <a:avLst/>
                    </a:prstGeom>
                  </pic:spPr>
                </pic:pic>
              </a:graphicData>
            </a:graphic>
          </wp:inline>
        </w:drawing>
      </w:r>
    </w:p>
    <w:p>
      <w:pPr>
        <w:pStyle w:val="TextBody"/>
        <w:bidi w:val="0"/>
        <w:spacing w:before="0" w:after="2"/>
        <w:jc w:val="left"/>
        <w:rPr/>
      </w:pPr>
      <w:r>
        <w:rPr/>
      </w:r>
    </w:p>
    <w:p>
      <w:pPr>
        <w:pStyle w:val="TextBody"/>
        <w:bidi w:val="0"/>
        <w:spacing w:before="0" w:after="2"/>
        <w:jc w:val="left"/>
        <w:rPr/>
      </w:pPr>
      <w:r>
        <w:rPr/>
      </w:r>
    </w:p>
    <w:p>
      <w:pPr>
        <w:sectPr>
          <w:type w:val="continuous"/>
          <w:pgSz w:w="11906" w:h="16838"/>
          <w:pgMar w:left="1134" w:right="567" w:gutter="0" w:header="0" w:top="567" w:footer="0" w:bottom="567"/>
          <w:pgNumType w:fmt="decimal"/>
          <w:formProt w:val="false"/>
          <w:textDirection w:val="lrTb"/>
          <w:docGrid w:type="default" w:linePitch="600" w:charSpace="32768"/>
        </w:sectPr>
      </w:pPr>
    </w:p>
    <w:p>
      <w:pPr>
        <w:pStyle w:val="TextBody"/>
        <w:bidi w:val="0"/>
        <w:spacing w:before="0" w:after="0"/>
        <w:jc w:val="lef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
        <w:jc w:val="left"/>
        <w:rPr/>
      </w:pPr>
      <w:r>
        <w:rPr/>
      </w:r>
      <w:r>
        <mc:AlternateContent>
          <mc:Choice Requires="wps">
            <w:drawing>
              <wp:anchor behindDoc="0" distT="0" distB="0" distL="0" distR="0" simplePos="0" locked="0" layoutInCell="1" allowOverlap="1" relativeHeight="9">
                <wp:simplePos x="0" y="0"/>
                <wp:positionH relativeFrom="character">
                  <wp:align>left</wp:align>
                </wp:positionH>
                <wp:positionV relativeFrom="line">
                  <wp:posOffset>635</wp:posOffset>
                </wp:positionV>
                <wp:extent cx="6480175" cy="175260"/>
                <wp:effectExtent l="0" t="0" r="0" b="0"/>
                <wp:wrapNone/>
                <wp:docPr id="8" name="Frame6"/>
                <a:graphic xmlns:a="http://schemas.openxmlformats.org/drawingml/2006/main">
                  <a:graphicData uri="http://schemas.microsoft.com/office/word/2010/wordprocessingShape">
                    <wps:wsp>
                      <wps:cNvSpPr txBox="1"/>
                      <wps:spPr>
                        <a:xfrm>
                          <a:off x="0" y="0"/>
                          <a:ext cx="6480175" cy="175260"/>
                        </a:xfrm>
                        <a:prstGeom prst="rect"/>
                        <a:solidFill>
                          <a:srgbClr val="FFFFFF"/>
                        </a:solidFill>
                      </wps:spPr>
                      <wps:txbx>
                        <w:txbxContent>
                          <w:p>
                            <w:pPr>
                              <w:pStyle w:val="TextBody"/>
                              <w:bidi w:val="0"/>
                              <w:spacing w:before="0" w:after="2"/>
                              <w:jc w:val="left"/>
                              <w:rPr/>
                            </w:pPr>
                            <w:r>
                              <w:rPr/>
                            </w:r>
                            <w:r>
                              <w:br w:type="page"/>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
                        <w:jc w:val="left"/>
                        <w:rPr/>
                      </w:pPr>
                      <w:r>
                        <w:rPr/>
                      </w:r>
                    </w:p>
                  </w:txbxContent>
                </v:textbox>
                <w10:wrap type="none"/>
              </v:rect>
            </w:pict>
          </mc:Fallback>
        </mc:AlternateContent>
      </w:r>
    </w:p>
    <w:p>
      <w:pPr>
        <w:pStyle w:val="TextBody"/>
        <w:bidi w:val="0"/>
        <w:spacing w:lineRule="auto" w:line="288" w:before="360" w:after="283"/>
        <w:jc w:val="center"/>
        <w:rPr>
          <w:rFonts w:ascii="Times New Roman;sans-serif" w:hAnsi="Times New Roman;sans-serif"/>
          <w:b/>
          <w:color w:val="000000"/>
          <w:sz w:val="20"/>
        </w:rPr>
      </w:pPr>
      <w:r>
        <w:rPr>
          <w:rFonts w:ascii="Times New Roman;sans-serif" w:hAnsi="Times New Roman;sans-serif"/>
          <w:b/>
          <w:color w:val="000000"/>
          <w:sz w:val="20"/>
        </w:rPr>
        <w:t>Eiger BioPharmaceuticals Inc.</w:t>
      </w:r>
    </w:p>
    <w:p>
      <w:pPr>
        <w:pStyle w:val="TextBody"/>
        <w:bidi w:val="0"/>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Condensed Consolidated Balance Sheets</w:t>
      </w:r>
    </w:p>
    <w:p>
      <w:pPr>
        <w:pStyle w:val="TextBody"/>
        <w:bidi w:val="0"/>
        <w:spacing w:lineRule="auto" w:line="300" w:before="0" w:after="2"/>
        <w:jc w:val="center"/>
        <w:rPr>
          <w:rFonts w:ascii="Times New Roman;sans-serif" w:hAnsi="Times New Roman;sans-serif"/>
          <w:b w:val="false"/>
          <w:color w:val="000000"/>
          <w:sz w:val="20"/>
        </w:rPr>
      </w:pPr>
      <w:r>
        <w:rPr>
          <w:rFonts w:ascii="Times New Roman;sans-serif" w:hAnsi="Times New Roman;sans-serif"/>
          <w:b w:val="false"/>
          <w:color w:val="000000"/>
          <w:sz w:val="20"/>
        </w:rPr>
        <w:t>(in thousands)</w:t>
      </w:r>
    </w:p>
    <w:tbl>
      <w:tblPr>
        <w:tblW w:w="7473" w:type="dxa"/>
        <w:jc w:val="left"/>
        <w:tblInd w:w="0" w:type="dxa"/>
        <w:tblLayout w:type="fixed"/>
        <w:tblCellMar>
          <w:top w:w="28" w:type="dxa"/>
          <w:left w:w="28" w:type="dxa"/>
          <w:bottom w:w="28" w:type="dxa"/>
          <w:right w:w="28" w:type="dxa"/>
        </w:tblCellMar>
      </w:tblPr>
      <w:tblGrid>
        <w:gridCol w:w="1561"/>
        <w:gridCol w:w="1374"/>
        <w:gridCol w:w="1385"/>
        <w:gridCol w:w="226"/>
        <w:gridCol w:w="826"/>
        <w:gridCol w:w="109"/>
        <w:gridCol w:w="109"/>
        <w:gridCol w:w="109"/>
        <w:gridCol w:w="109"/>
        <w:gridCol w:w="295"/>
        <w:gridCol w:w="1155"/>
        <w:gridCol w:w="215"/>
      </w:tblGrid>
      <w:tr>
        <w:trPr/>
        <w:tc>
          <w:tcPr>
            <w:tcW w:w="1561" w:type="dxa"/>
            <w:tcBorders/>
            <w:vAlign w:val="center"/>
          </w:tcPr>
          <w:p>
            <w:pPr>
              <w:pStyle w:val="TableContents"/>
              <w:bidi w:val="0"/>
              <w:spacing w:before="0" w:after="283"/>
              <w:jc w:val="left"/>
              <w:rPr>
                <w:sz w:val="4"/>
                <w:szCs w:val="4"/>
              </w:rPr>
            </w:pPr>
            <w:r>
              <w:rPr>
                <w:sz w:val="4"/>
                <w:szCs w:val="4"/>
              </w:rPr>
            </w:r>
          </w:p>
        </w:tc>
        <w:tc>
          <w:tcPr>
            <w:tcW w:w="1374" w:type="dxa"/>
            <w:tcBorders/>
            <w:vAlign w:val="center"/>
          </w:tcPr>
          <w:p>
            <w:pPr>
              <w:pStyle w:val="TableContents"/>
              <w:bidi w:val="0"/>
              <w:spacing w:before="0" w:after="283"/>
              <w:jc w:val="left"/>
              <w:rPr>
                <w:sz w:val="4"/>
                <w:szCs w:val="4"/>
              </w:rPr>
            </w:pPr>
            <w:r>
              <w:rPr>
                <w:sz w:val="4"/>
                <w:szCs w:val="4"/>
              </w:rPr>
            </w:r>
          </w:p>
        </w:tc>
        <w:tc>
          <w:tcPr>
            <w:tcW w:w="1385" w:type="dxa"/>
            <w:tcBorders/>
            <w:vAlign w:val="center"/>
          </w:tcPr>
          <w:p>
            <w:pPr>
              <w:pStyle w:val="TableContents"/>
              <w:bidi w:val="0"/>
              <w:spacing w:before="0" w:after="283"/>
              <w:jc w:val="left"/>
              <w:rPr>
                <w:sz w:val="4"/>
                <w:szCs w:val="4"/>
              </w:rPr>
            </w:pPr>
            <w:r>
              <w:rPr>
                <w:sz w:val="4"/>
                <w:szCs w:val="4"/>
              </w:rPr>
            </w:r>
          </w:p>
        </w:tc>
        <w:tc>
          <w:tcPr>
            <w:tcW w:w="226" w:type="dxa"/>
            <w:tcBorders/>
            <w:vAlign w:val="center"/>
          </w:tcPr>
          <w:p>
            <w:pPr>
              <w:pStyle w:val="TableContents"/>
              <w:bidi w:val="0"/>
              <w:spacing w:before="0" w:after="283"/>
              <w:jc w:val="left"/>
              <w:rPr>
                <w:sz w:val="4"/>
                <w:szCs w:val="4"/>
              </w:rPr>
            </w:pPr>
            <w:r>
              <w:rPr>
                <w:sz w:val="4"/>
                <w:szCs w:val="4"/>
              </w:rPr>
            </w:r>
          </w:p>
        </w:tc>
        <w:tc>
          <w:tcPr>
            <w:tcW w:w="826"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295" w:type="dxa"/>
            <w:tcBorders/>
            <w:vAlign w:val="center"/>
          </w:tcPr>
          <w:p>
            <w:pPr>
              <w:pStyle w:val="TableContents"/>
              <w:bidi w:val="0"/>
              <w:spacing w:before="0" w:after="283"/>
              <w:jc w:val="left"/>
              <w:rPr>
                <w:sz w:val="4"/>
                <w:szCs w:val="4"/>
              </w:rPr>
            </w:pPr>
            <w:r>
              <w:rPr>
                <w:sz w:val="4"/>
                <w:szCs w:val="4"/>
              </w:rPr>
            </w:r>
          </w:p>
        </w:tc>
        <w:tc>
          <w:tcPr>
            <w:tcW w:w="1155" w:type="dxa"/>
            <w:tcBorders/>
            <w:vAlign w:val="center"/>
          </w:tcPr>
          <w:p>
            <w:pPr>
              <w:pStyle w:val="TableContents"/>
              <w:bidi w:val="0"/>
              <w:spacing w:before="0" w:after="283"/>
              <w:jc w:val="left"/>
              <w:rPr>
                <w:sz w:val="4"/>
                <w:szCs w:val="4"/>
              </w:rPr>
            </w:pPr>
            <w:r>
              <w:rPr>
                <w:sz w:val="4"/>
                <w:szCs w:val="4"/>
              </w:rPr>
            </w:r>
          </w:p>
        </w:tc>
        <w:tc>
          <w:tcPr>
            <w:tcW w:w="215" w:type="dxa"/>
            <w:tcBorders/>
            <w:vAlign w:val="center"/>
          </w:tcPr>
          <w:p>
            <w:pPr>
              <w:pStyle w:val="TableContents"/>
              <w:bidi w:val="0"/>
              <w:spacing w:before="0" w:after="283"/>
              <w:jc w:val="left"/>
              <w:rPr>
                <w:sz w:val="4"/>
                <w:szCs w:val="4"/>
              </w:rPr>
            </w:pPr>
            <w:r>
              <w:rPr>
                <w:sz w:val="4"/>
                <w:szCs w:val="4"/>
              </w:rPr>
            </w:r>
          </w:p>
        </w:tc>
      </w:tr>
      <w:tr>
        <w:trPr/>
        <w:tc>
          <w:tcPr>
            <w:tcW w:w="4320"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161" w:type="dxa"/>
            <w:gridSpan w:val="3"/>
            <w:tcBorders/>
            <w:tcMar>
              <w:top w:w="0" w:type="dxa"/>
              <w:left w:w="0" w:type="dxa"/>
              <w:bottom w:w="0" w:type="dxa"/>
              <w:right w:w="0" w:type="dxa"/>
            </w:tcMar>
            <w:vAlign w:val="center"/>
          </w:tcPr>
          <w:p>
            <w:pPr>
              <w:pStyle w:val="TableContents"/>
              <w:bidi w:val="0"/>
              <w:spacing w:lineRule="auto" w:line="300" w:before="0" w:after="283"/>
              <w:jc w:val="center"/>
              <w:rPr>
                <w:rFonts w:ascii="Times New Roman;sans-serif" w:hAnsi="Times New Roman;sans-serif"/>
                <w:b/>
                <w:color w:val="000000"/>
                <w:sz w:val="16"/>
              </w:rPr>
            </w:pPr>
            <w:r>
              <w:rPr>
                <w:rFonts w:ascii="Times New Roman;sans-serif" w:hAnsi="Times New Roman;sans-serif"/>
                <w:b/>
                <w:color w:val="000000"/>
                <w:sz w:val="16"/>
              </w:rPr>
              <w:t xml:space="preserve">March 31, </w:t>
              <w:br/>
              <w:t>2023</w:t>
            </w:r>
          </w:p>
        </w:tc>
        <w:tc>
          <w:tcPr>
            <w:tcW w:w="327"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665" w:type="dxa"/>
            <w:gridSpan w:val="3"/>
            <w:tcBorders/>
            <w:tcMar>
              <w:top w:w="0" w:type="dxa"/>
              <w:left w:w="0" w:type="dxa"/>
              <w:bottom w:w="0" w:type="dxa"/>
              <w:right w:w="0" w:type="dxa"/>
            </w:tcMar>
            <w:vAlign w:val="center"/>
          </w:tcPr>
          <w:p>
            <w:pPr>
              <w:pStyle w:val="TableContents"/>
              <w:bidi w:val="0"/>
              <w:spacing w:lineRule="auto" w:line="300" w:before="0" w:after="2"/>
              <w:jc w:val="center"/>
              <w:rPr/>
            </w:pPr>
            <w:r>
              <w:rPr>
                <w:rFonts w:ascii="Times New Roman;sans-serif" w:hAnsi="Times New Roman;sans-serif"/>
                <w:b/>
                <w:color w:val="000000"/>
                <w:sz w:val="16"/>
              </w:rPr>
              <w:t>December 31, 2022</w:t>
            </w:r>
            <w:r>
              <w:rPr>
                <w:rFonts w:ascii="Times New Roman;sans-serif" w:hAnsi="Times New Roman;sans-serif"/>
                <w:b/>
                <w:color w:val="000000"/>
                <w:sz w:val="10"/>
              </w:rPr>
              <w:t>(1)</w:t>
            </w:r>
          </w:p>
        </w:tc>
      </w:tr>
      <w:tr>
        <w:trPr/>
        <w:tc>
          <w:tcPr>
            <w:tcW w:w="4320"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161" w:type="dxa"/>
            <w:gridSpan w:val="3"/>
            <w:tcBorders>
              <w:top w:val="single" w:sz="8" w:space="0" w:color="000000"/>
            </w:tcBorders>
            <w:tcMar>
              <w:top w:w="30" w:type="dxa"/>
              <w:left w:w="0" w:type="dxa"/>
              <w:bottom w:w="0" w:type="dxa"/>
              <w:right w:w="0" w:type="dxa"/>
            </w:tcMar>
            <w:vAlign w:val="center"/>
          </w:tcPr>
          <w:p>
            <w:pPr>
              <w:pStyle w:val="TableContents"/>
              <w:bidi w:val="0"/>
              <w:spacing w:lineRule="auto" w:line="300" w:before="0" w:after="283"/>
              <w:jc w:val="center"/>
              <w:rPr>
                <w:rFonts w:ascii="Times New Roman;sans-serif" w:hAnsi="Times New Roman;sans-serif"/>
                <w:b/>
                <w:color w:val="000000"/>
                <w:sz w:val="16"/>
              </w:rPr>
            </w:pPr>
            <w:r>
              <w:rPr>
                <w:rFonts w:ascii="Times New Roman;sans-serif" w:hAnsi="Times New Roman;sans-serif"/>
                <w:b/>
                <w:color w:val="000000"/>
                <w:sz w:val="16"/>
              </w:rPr>
              <w:t>(Unaudited)</w:t>
            </w:r>
          </w:p>
        </w:tc>
        <w:tc>
          <w:tcPr>
            <w:tcW w:w="327"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665" w:type="dxa"/>
            <w:gridSpan w:val="3"/>
            <w:tcBorders>
              <w:top w:val="single" w:sz="8" w:space="0" w:color="000000"/>
            </w:tcBorders>
            <w:tcMar>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4320"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color w:val="000000"/>
                <w:sz w:val="20"/>
              </w:rPr>
            </w:pPr>
            <w:r>
              <w:rPr>
                <w:rFonts w:ascii="Times New Roman;sans-serif" w:hAnsi="Times New Roman;sans-serif"/>
                <w:b/>
                <w:color w:val="000000"/>
                <w:sz w:val="20"/>
              </w:rPr>
              <w:t>ASSETS</w:t>
            </w:r>
          </w:p>
        </w:tc>
        <w:tc>
          <w:tcPr>
            <w:tcW w:w="1161"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665"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4320" w:type="dxa"/>
            <w:gridSpan w:val="3"/>
            <w:tcBorders/>
            <w:shd w:fill="FFFF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Cash and cash equivalents</w:t>
            </w:r>
          </w:p>
        </w:tc>
        <w:tc>
          <w:tcPr>
            <w:tcW w:w="226" w:type="dxa"/>
            <w:tcBorders/>
            <w:shd w:fill="FFFFFF" w:val="clear"/>
            <w:tcMar>
              <w:top w:w="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15,181 </w:t>
            </w:r>
          </w:p>
        </w:tc>
        <w:tc>
          <w:tcPr>
            <w:tcW w:w="109"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295" w:type="dxa"/>
            <w:tcBorders/>
            <w:shd w:fill="FFFFFF" w:val="clear"/>
            <w:tcMar>
              <w:top w:w="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55" w:type="dxa"/>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25,798 </w:t>
            </w:r>
          </w:p>
        </w:tc>
        <w:tc>
          <w:tcPr>
            <w:tcW w:w="215"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4320"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Short-term debt securities</w:t>
            </w:r>
          </w:p>
        </w:tc>
        <w:tc>
          <w:tcPr>
            <w:tcW w:w="1052"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60,091 </w:t>
            </w:r>
          </w:p>
        </w:tc>
        <w:tc>
          <w:tcPr>
            <w:tcW w:w="109"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450"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73,150 </w:t>
            </w:r>
          </w:p>
        </w:tc>
        <w:tc>
          <w:tcPr>
            <w:tcW w:w="215"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4320" w:type="dxa"/>
            <w:gridSpan w:val="3"/>
            <w:tcBorders/>
            <w:shd w:fill="FFFF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Accounts receivable</w:t>
            </w:r>
          </w:p>
        </w:tc>
        <w:tc>
          <w:tcPr>
            <w:tcW w:w="1052"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3,891 </w:t>
            </w:r>
          </w:p>
        </w:tc>
        <w:tc>
          <w:tcPr>
            <w:tcW w:w="109"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450"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1,749 </w:t>
            </w:r>
          </w:p>
        </w:tc>
        <w:tc>
          <w:tcPr>
            <w:tcW w:w="215"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4320"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Inventories</w:t>
            </w:r>
          </w:p>
        </w:tc>
        <w:tc>
          <w:tcPr>
            <w:tcW w:w="1052"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5,338 </w:t>
            </w:r>
          </w:p>
        </w:tc>
        <w:tc>
          <w:tcPr>
            <w:tcW w:w="109"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450"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2,853 </w:t>
            </w:r>
          </w:p>
        </w:tc>
        <w:tc>
          <w:tcPr>
            <w:tcW w:w="215"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4320" w:type="dxa"/>
            <w:gridSpan w:val="3"/>
            <w:tcBorders/>
            <w:shd w:fill="FFFF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Prepaid expenses and other current assets</w:t>
            </w:r>
          </w:p>
        </w:tc>
        <w:tc>
          <w:tcPr>
            <w:tcW w:w="1052"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12,410 </w:t>
            </w:r>
          </w:p>
        </w:tc>
        <w:tc>
          <w:tcPr>
            <w:tcW w:w="109"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450"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13,985 </w:t>
            </w:r>
          </w:p>
        </w:tc>
        <w:tc>
          <w:tcPr>
            <w:tcW w:w="215"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4320"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Total current assets</w:t>
            </w:r>
          </w:p>
        </w:tc>
        <w:tc>
          <w:tcPr>
            <w:tcW w:w="1052" w:type="dxa"/>
            <w:gridSpan w:val="2"/>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96,911 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450" w:type="dxa"/>
            <w:gridSpan w:val="2"/>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117,535 </w:t>
            </w:r>
          </w:p>
        </w:tc>
        <w:tc>
          <w:tcPr>
            <w:tcW w:w="215" w:type="dxa"/>
            <w:tcBorders>
              <w:top w:val="single" w:sz="8" w:space="0" w:color="000000"/>
            </w:tcBorders>
            <w:shd w:fill="CCEEFF" w:val="clear"/>
            <w:tcMar>
              <w:top w:w="3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4320" w:type="dxa"/>
            <w:gridSpan w:val="3"/>
            <w:tcBorders/>
            <w:shd w:fill="FFFF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Long-term debt securities</w:t>
            </w:r>
          </w:p>
        </w:tc>
        <w:tc>
          <w:tcPr>
            <w:tcW w:w="1052"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450"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color w:val="000000"/>
              </w:rPr>
            </w:pPr>
            <w:r>
              <w:rPr>
                <w:color w:val="000000"/>
              </w:rPr>
              <w:t>— </w:t>
            </w:r>
          </w:p>
        </w:tc>
        <w:tc>
          <w:tcPr>
            <w:tcW w:w="215"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4320"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Property and equipment, net</w:t>
            </w:r>
          </w:p>
        </w:tc>
        <w:tc>
          <w:tcPr>
            <w:tcW w:w="1052"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804 </w:t>
            </w:r>
          </w:p>
        </w:tc>
        <w:tc>
          <w:tcPr>
            <w:tcW w:w="109"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450"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696 </w:t>
            </w:r>
          </w:p>
        </w:tc>
        <w:tc>
          <w:tcPr>
            <w:tcW w:w="215"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4320" w:type="dxa"/>
            <w:gridSpan w:val="3"/>
            <w:tcBorders/>
            <w:shd w:fill="FFFF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Operating lease right-of-use assets</w:t>
            </w:r>
          </w:p>
        </w:tc>
        <w:tc>
          <w:tcPr>
            <w:tcW w:w="1052"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446 </w:t>
            </w:r>
          </w:p>
        </w:tc>
        <w:tc>
          <w:tcPr>
            <w:tcW w:w="109"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450"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561 </w:t>
            </w:r>
          </w:p>
        </w:tc>
        <w:tc>
          <w:tcPr>
            <w:tcW w:w="215"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4320"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Other assets</w:t>
            </w:r>
          </w:p>
        </w:tc>
        <w:tc>
          <w:tcPr>
            <w:tcW w:w="1052"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1,067 </w:t>
            </w:r>
          </w:p>
        </w:tc>
        <w:tc>
          <w:tcPr>
            <w:tcW w:w="109"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450"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1,347 </w:t>
            </w:r>
          </w:p>
        </w:tc>
        <w:tc>
          <w:tcPr>
            <w:tcW w:w="215"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4320" w:type="dxa"/>
            <w:gridSpan w:val="3"/>
            <w:tcBorders/>
            <w:shd w:fill="FFFF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Total assets</w:t>
            </w:r>
          </w:p>
        </w:tc>
        <w:tc>
          <w:tcPr>
            <w:tcW w:w="226" w:type="dxa"/>
            <w:tcBorders>
              <w:top w:val="single" w:sz="8" w:space="0" w:color="000000"/>
            </w:tcBorders>
            <w:shd w:fill="FFFFFF" w:val="clear"/>
            <w:tcMar>
              <w:top w:w="3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FFFFFF" w:val="clear"/>
            <w:tcMar>
              <w:top w:w="3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99,228 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295" w:type="dxa"/>
            <w:tcBorders>
              <w:top w:val="single" w:sz="8" w:space="0" w:color="000000"/>
            </w:tcBorders>
            <w:shd w:fill="FFFFFF" w:val="clear"/>
            <w:tcMar>
              <w:top w:w="3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55" w:type="dxa"/>
            <w:tcBorders>
              <w:top w:val="single" w:sz="8" w:space="0" w:color="000000"/>
            </w:tcBorders>
            <w:shd w:fill="FFFFFF" w:val="clear"/>
            <w:tcMar>
              <w:top w:w="3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120,139 </w:t>
            </w:r>
          </w:p>
        </w:tc>
        <w:tc>
          <w:tcPr>
            <w:tcW w:w="215" w:type="dxa"/>
            <w:tcBorders>
              <w:top w:val="single" w:sz="8" w:space="0" w:color="000000"/>
            </w:tcBorders>
            <w:shd w:fill="FFFFFF" w:val="clear"/>
            <w:tcMar>
              <w:top w:w="3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4320"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color w:val="000000"/>
                <w:sz w:val="20"/>
              </w:rPr>
            </w:pPr>
            <w:r>
              <w:rPr>
                <w:rFonts w:ascii="Times New Roman;sans-serif" w:hAnsi="Times New Roman;sans-serif"/>
                <w:b/>
                <w:color w:val="000000"/>
                <w:sz w:val="20"/>
              </w:rPr>
              <w:t>LIABILITIES AND STOCKHOLDERS’ EQUITY</w:t>
            </w:r>
          </w:p>
        </w:tc>
        <w:tc>
          <w:tcPr>
            <w:tcW w:w="1161" w:type="dxa"/>
            <w:gridSpan w:val="3"/>
            <w:tcBorders>
              <w:top w:val="double" w:sz="8" w:space="0" w:color="000000"/>
            </w:tcBorders>
            <w:shd w:fill="CCEEFF" w:val="clear"/>
            <w:tcMar>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665" w:type="dxa"/>
            <w:gridSpan w:val="3"/>
            <w:tcBorders>
              <w:top w:val="double" w:sz="8" w:space="0" w:color="000000"/>
            </w:tcBorders>
            <w:shd w:fill="CCEEFF" w:val="clear"/>
            <w:tcMar>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4320" w:type="dxa"/>
            <w:gridSpan w:val="3"/>
            <w:tcBorders/>
            <w:shd w:fill="FFFF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Current liabilities</w:t>
            </w:r>
          </w:p>
        </w:tc>
        <w:tc>
          <w:tcPr>
            <w:tcW w:w="1052"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23,999 </w:t>
            </w:r>
          </w:p>
        </w:tc>
        <w:tc>
          <w:tcPr>
            <w:tcW w:w="109"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295" w:type="dxa"/>
            <w:tcBorders/>
            <w:shd w:fill="FFFFFF" w:val="clear"/>
            <w:tcMar>
              <w:top w:w="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55" w:type="dxa"/>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25,121 </w:t>
            </w:r>
          </w:p>
        </w:tc>
        <w:tc>
          <w:tcPr>
            <w:tcW w:w="215"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4320"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Other liabilities</w:t>
            </w:r>
          </w:p>
        </w:tc>
        <w:tc>
          <w:tcPr>
            <w:tcW w:w="1052"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39,990 </w:t>
            </w:r>
          </w:p>
        </w:tc>
        <w:tc>
          <w:tcPr>
            <w:tcW w:w="109"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450"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39,708 </w:t>
            </w:r>
          </w:p>
        </w:tc>
        <w:tc>
          <w:tcPr>
            <w:tcW w:w="215"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4320" w:type="dxa"/>
            <w:gridSpan w:val="3"/>
            <w:tcBorders/>
            <w:shd w:fill="FFFF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Stockholders’ equity</w:t>
            </w:r>
          </w:p>
        </w:tc>
        <w:tc>
          <w:tcPr>
            <w:tcW w:w="1052"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35,239 </w:t>
            </w:r>
          </w:p>
        </w:tc>
        <w:tc>
          <w:tcPr>
            <w:tcW w:w="109"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450"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55,310 </w:t>
            </w:r>
          </w:p>
        </w:tc>
        <w:tc>
          <w:tcPr>
            <w:tcW w:w="215"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4320"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Total liabilities and stockholders’ equity</w:t>
            </w:r>
          </w:p>
        </w:tc>
        <w:tc>
          <w:tcPr>
            <w:tcW w:w="22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99,228 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295"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1155"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120,139 </w:t>
            </w:r>
          </w:p>
        </w:tc>
        <w:tc>
          <w:tcPr>
            <w:tcW w:w="215"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bidi w:val="0"/>
              <w:spacing w:before="0" w:after="283"/>
              <w:jc w:val="left"/>
              <w:rPr>
                <w:sz w:val="4"/>
                <w:szCs w:val="4"/>
              </w:rPr>
            </w:pPr>
            <w:r>
              <w:rPr>
                <w:sz w:val="4"/>
                <w:szCs w:val="4"/>
              </w:rPr>
            </w:r>
          </w:p>
        </w:tc>
      </w:tr>
    </w:tbl>
    <w:p>
      <w:pPr>
        <w:pStyle w:val="TextBody"/>
        <w:bidi w:val="0"/>
        <w:spacing w:lineRule="auto" w:line="288" w:before="240" w:after="283"/>
        <w:ind w:left="0" w:right="0" w:hanging="540"/>
        <w:jc w:val="left"/>
        <w:rPr/>
      </w:pPr>
      <w:r>
        <w:rPr>
          <w:rFonts w:ascii="Times New Roman;sans-serif" w:hAnsi="Times New Roman;sans-serif"/>
          <w:b w:val="false"/>
          <w:color w:val="000000"/>
          <w:sz w:val="13"/>
        </w:rPr>
        <w:t>(1)</w:t>
      </w:r>
      <w:r>
        <w:rPr>
          <w:rFonts w:ascii="Times New Roman;sans-serif" w:hAnsi="Times New Roman;sans-serif"/>
          <w:b w:val="false"/>
          <w:color w:val="000000"/>
          <w:sz w:val="20"/>
        </w:rPr>
        <w:t xml:space="preserve">Derived from the audited financial statements, included in the Company’s Annual Report on Form 10-K for the year ended December 31, 2022. </w:t>
      </w:r>
    </w:p>
    <w:p>
      <w:pPr>
        <w:sectPr>
          <w:type w:val="continuous"/>
          <w:pgSz w:w="11906" w:h="16838"/>
          <w:pgMar w:left="1134" w:right="567" w:gutter="0" w:header="0" w:top="567" w:footer="0" w:bottom="567"/>
          <w:pgNumType w:fmt="decimal"/>
          <w:formProt w:val="false"/>
          <w:textDirection w:val="lrTb"/>
          <w:docGrid w:type="default" w:linePitch="600" w:charSpace="32768"/>
        </w:sectPr>
      </w:pPr>
    </w:p>
    <w:p>
      <w:pPr>
        <w:pStyle w:val="TextBody"/>
        <w:bidi w:val="0"/>
        <w:spacing w:before="0" w:after="0"/>
        <w:jc w:val="left"/>
        <w:rPr/>
      </w:pPr>
      <w:r>
        <w:rPr/>
      </w:r>
    </w:p>
    <w:p>
      <w:pPr>
        <w:sectPr>
          <w:type w:val="continuous"/>
          <w:pgSz w:w="11906" w:h="16838"/>
          <w:pgMar w:left="1134" w:right="567" w:gutter="0" w:header="0" w:top="567" w:footer="0" w:bottom="567"/>
          <w:formProt w:val="false"/>
          <w:textDirection w:val="lrTb"/>
          <w:docGrid w:type="default" w:linePitch="600" w:charSpace="32768"/>
        </w:sectPr>
      </w:pPr>
    </w:p>
    <w:p>
      <w:pPr>
        <w:pStyle w:val="TextBody"/>
        <w:bidi w:val="0"/>
        <w:spacing w:before="0" w:after="2"/>
        <w:jc w:val="left"/>
        <w:rPr/>
      </w:pPr>
      <w:r>
        <w:rPr/>
      </w:r>
      <w:r>
        <mc:AlternateContent>
          <mc:Choice Requires="wps">
            <w:drawing>
              <wp:anchor behindDoc="0" distT="0" distB="0" distL="0" distR="0" simplePos="0" locked="0" layoutInCell="1" allowOverlap="1" relativeHeight="10">
                <wp:simplePos x="0" y="0"/>
                <wp:positionH relativeFrom="character">
                  <wp:align>left</wp:align>
                </wp:positionH>
                <wp:positionV relativeFrom="line">
                  <wp:posOffset>635</wp:posOffset>
                </wp:positionV>
                <wp:extent cx="6480175" cy="175260"/>
                <wp:effectExtent l="0" t="0" r="0" b="0"/>
                <wp:wrapNone/>
                <wp:docPr id="9" name="Frame7"/>
                <a:graphic xmlns:a="http://schemas.openxmlformats.org/drawingml/2006/main">
                  <a:graphicData uri="http://schemas.microsoft.com/office/word/2010/wordprocessingShape">
                    <wps:wsp>
                      <wps:cNvSpPr txBox="1"/>
                      <wps:spPr>
                        <a:xfrm>
                          <a:off x="0" y="0"/>
                          <a:ext cx="6480175" cy="175260"/>
                        </a:xfrm>
                        <a:prstGeom prst="rect"/>
                        <a:solidFill>
                          <a:srgbClr val="FFFFFF"/>
                        </a:solidFill>
                      </wps:spPr>
                      <wps:txbx>
                        <w:txbxContent>
                          <w:p>
                            <w:pPr>
                              <w:pStyle w:val="TextBody"/>
                              <w:bidi w:val="0"/>
                              <w:spacing w:before="0" w:after="2"/>
                              <w:jc w:val="left"/>
                              <w:rPr/>
                            </w:pPr>
                            <w:r>
                              <w:rPr/>
                            </w:r>
                            <w:r>
                              <w:br w:type="page"/>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
                        <w:jc w:val="left"/>
                        <w:rPr/>
                      </w:pPr>
                      <w:r>
                        <w:rPr/>
                      </w:r>
                    </w:p>
                  </w:txbxContent>
                </v:textbox>
                <w10:wrap type="none"/>
              </v:rect>
            </w:pict>
          </mc:Fallback>
        </mc:AlternateContent>
      </w:r>
    </w:p>
    <w:p>
      <w:pPr>
        <w:pStyle w:val="TextBody"/>
        <w:bidi w:val="0"/>
        <w:spacing w:lineRule="auto" w:line="288" w:before="360" w:after="283"/>
        <w:jc w:val="center"/>
        <w:rPr>
          <w:rFonts w:ascii="Times New Roman;sans-serif" w:hAnsi="Times New Roman;sans-serif"/>
          <w:b/>
          <w:color w:val="000000"/>
          <w:sz w:val="20"/>
        </w:rPr>
      </w:pPr>
      <w:r>
        <w:rPr>
          <w:rFonts w:ascii="Times New Roman;sans-serif" w:hAnsi="Times New Roman;sans-serif"/>
          <w:b/>
          <w:color w:val="000000"/>
          <w:sz w:val="20"/>
        </w:rPr>
        <w:t>Eiger BioPharmaceuticals Inc.</w:t>
      </w:r>
    </w:p>
    <w:p>
      <w:pPr>
        <w:pStyle w:val="TextBody"/>
        <w:bidi w:val="0"/>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Condensed Consolidated Statements of Operations Financial Data</w:t>
      </w:r>
    </w:p>
    <w:p>
      <w:pPr>
        <w:pStyle w:val="TextBody"/>
        <w:bidi w:val="0"/>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(in thousands, except per share and share amounts)</w:t>
      </w:r>
    </w:p>
    <w:tbl>
      <w:tblPr>
        <w:tblW w:w="6726" w:type="dxa"/>
        <w:jc w:val="left"/>
        <w:tblInd w:w="0" w:type="dxa"/>
        <w:tblLayout w:type="fixed"/>
        <w:tblCellMar>
          <w:top w:w="28" w:type="dxa"/>
          <w:left w:w="28" w:type="dxa"/>
          <w:bottom w:w="28" w:type="dxa"/>
          <w:right w:w="28" w:type="dxa"/>
        </w:tblCellMar>
      </w:tblPr>
      <w:tblGrid>
        <w:gridCol w:w="1441"/>
        <w:gridCol w:w="1265"/>
        <w:gridCol w:w="1268"/>
        <w:gridCol w:w="240"/>
        <w:gridCol w:w="841"/>
        <w:gridCol w:w="109"/>
        <w:gridCol w:w="109"/>
        <w:gridCol w:w="109"/>
        <w:gridCol w:w="109"/>
        <w:gridCol w:w="240"/>
        <w:gridCol w:w="841"/>
        <w:gridCol w:w="154"/>
      </w:tblGrid>
      <w:tr>
        <w:trPr/>
        <w:tc>
          <w:tcPr>
            <w:tcW w:w="1441" w:type="dxa"/>
            <w:tcBorders/>
            <w:vAlign w:val="center"/>
          </w:tcPr>
          <w:p>
            <w:pPr>
              <w:pStyle w:val="TableContents"/>
              <w:bidi w:val="0"/>
              <w:spacing w:before="0" w:after="283"/>
              <w:jc w:val="left"/>
              <w:rPr>
                <w:sz w:val="4"/>
                <w:szCs w:val="4"/>
              </w:rPr>
            </w:pPr>
            <w:r>
              <w:rPr>
                <w:sz w:val="4"/>
                <w:szCs w:val="4"/>
              </w:rPr>
            </w:r>
          </w:p>
        </w:tc>
        <w:tc>
          <w:tcPr>
            <w:tcW w:w="1265" w:type="dxa"/>
            <w:tcBorders/>
            <w:vAlign w:val="center"/>
          </w:tcPr>
          <w:p>
            <w:pPr>
              <w:pStyle w:val="TableContents"/>
              <w:bidi w:val="0"/>
              <w:spacing w:before="0" w:after="283"/>
              <w:jc w:val="left"/>
              <w:rPr>
                <w:sz w:val="4"/>
                <w:szCs w:val="4"/>
              </w:rPr>
            </w:pPr>
            <w:r>
              <w:rPr>
                <w:sz w:val="4"/>
                <w:szCs w:val="4"/>
              </w:rPr>
            </w:r>
          </w:p>
        </w:tc>
        <w:tc>
          <w:tcPr>
            <w:tcW w:w="1268" w:type="dxa"/>
            <w:tcBorders/>
            <w:vAlign w:val="center"/>
          </w:tcPr>
          <w:p>
            <w:pPr>
              <w:pStyle w:val="TableContents"/>
              <w:bidi w:val="0"/>
              <w:spacing w:before="0" w:after="283"/>
              <w:jc w:val="left"/>
              <w:rPr>
                <w:sz w:val="4"/>
                <w:szCs w:val="4"/>
              </w:rPr>
            </w:pPr>
            <w:r>
              <w:rPr>
                <w:sz w:val="4"/>
                <w:szCs w:val="4"/>
              </w:rPr>
            </w:r>
          </w:p>
        </w:tc>
        <w:tc>
          <w:tcPr>
            <w:tcW w:w="240" w:type="dxa"/>
            <w:tcBorders/>
            <w:vAlign w:val="center"/>
          </w:tcPr>
          <w:p>
            <w:pPr>
              <w:pStyle w:val="TableContents"/>
              <w:bidi w:val="0"/>
              <w:spacing w:before="0" w:after="283"/>
              <w:jc w:val="left"/>
              <w:rPr>
                <w:sz w:val="4"/>
                <w:szCs w:val="4"/>
              </w:rPr>
            </w:pPr>
            <w:r>
              <w:rPr>
                <w:sz w:val="4"/>
                <w:szCs w:val="4"/>
              </w:rPr>
            </w:r>
          </w:p>
        </w:tc>
        <w:tc>
          <w:tcPr>
            <w:tcW w:w="841"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240" w:type="dxa"/>
            <w:tcBorders/>
            <w:vAlign w:val="center"/>
          </w:tcPr>
          <w:p>
            <w:pPr>
              <w:pStyle w:val="TableContents"/>
              <w:bidi w:val="0"/>
              <w:spacing w:before="0" w:after="283"/>
              <w:jc w:val="left"/>
              <w:rPr>
                <w:sz w:val="4"/>
                <w:szCs w:val="4"/>
              </w:rPr>
            </w:pPr>
            <w:r>
              <w:rPr>
                <w:sz w:val="4"/>
                <w:szCs w:val="4"/>
              </w:rPr>
            </w:r>
          </w:p>
        </w:tc>
        <w:tc>
          <w:tcPr>
            <w:tcW w:w="841" w:type="dxa"/>
            <w:tcBorders/>
            <w:vAlign w:val="center"/>
          </w:tcPr>
          <w:p>
            <w:pPr>
              <w:pStyle w:val="TableContents"/>
              <w:bidi w:val="0"/>
              <w:spacing w:before="0" w:after="283"/>
              <w:jc w:val="left"/>
              <w:rPr>
                <w:sz w:val="4"/>
                <w:szCs w:val="4"/>
              </w:rPr>
            </w:pPr>
            <w:r>
              <w:rPr>
                <w:sz w:val="4"/>
                <w:szCs w:val="4"/>
              </w:rPr>
            </w:r>
          </w:p>
        </w:tc>
        <w:tc>
          <w:tcPr>
            <w:tcW w:w="154" w:type="dxa"/>
            <w:tcBorders/>
            <w:vAlign w:val="center"/>
          </w:tcPr>
          <w:p>
            <w:pPr>
              <w:pStyle w:val="TableContents"/>
              <w:bidi w:val="0"/>
              <w:spacing w:before="0" w:after="283"/>
              <w:jc w:val="left"/>
              <w:rPr>
                <w:sz w:val="4"/>
                <w:szCs w:val="4"/>
              </w:rPr>
            </w:pPr>
            <w:r>
              <w:rPr>
                <w:sz w:val="4"/>
                <w:szCs w:val="4"/>
              </w:rPr>
            </w:r>
          </w:p>
        </w:tc>
      </w:tr>
      <w:tr>
        <w:trPr/>
        <w:tc>
          <w:tcPr>
            <w:tcW w:w="3974"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2752" w:type="dxa"/>
            <w:gridSpan w:val="9"/>
            <w:tcBorders/>
            <w:tcMar>
              <w:top w:w="0" w:type="dxa"/>
              <w:left w:w="0" w:type="dxa"/>
              <w:bottom w:w="0" w:type="dxa"/>
              <w:right w:w="0" w:type="dxa"/>
            </w:tcMar>
            <w:vAlign w:val="center"/>
          </w:tcPr>
          <w:p>
            <w:pPr>
              <w:pStyle w:val="TableContents"/>
              <w:bidi w:val="0"/>
              <w:spacing w:lineRule="auto" w:line="300" w:before="0" w:after="283"/>
              <w:jc w:val="center"/>
              <w:rPr>
                <w:rFonts w:ascii="Times New Roman;sans-serif" w:hAnsi="Times New Roman;sans-serif"/>
                <w:b/>
                <w:color w:val="000000"/>
                <w:sz w:val="16"/>
              </w:rPr>
            </w:pPr>
            <w:r>
              <w:rPr>
                <w:rFonts w:ascii="Times New Roman;sans-serif" w:hAnsi="Times New Roman;sans-serif"/>
                <w:b/>
                <w:color w:val="000000"/>
                <w:sz w:val="16"/>
              </w:rPr>
              <w:t>Three Months Ended</w:t>
              <w:br/>
              <w:t>March 31,</w:t>
              <w:br/>
              <w:t>(unaudited)</w:t>
            </w:r>
          </w:p>
        </w:tc>
      </w:tr>
      <w:tr>
        <w:trPr/>
        <w:tc>
          <w:tcPr>
            <w:tcW w:w="3974"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190" w:type="dxa"/>
            <w:gridSpan w:val="3"/>
            <w:tcBorders>
              <w:top w:val="single" w:sz="8" w:space="0" w:color="000000"/>
            </w:tcBorders>
            <w:tcMar>
              <w:top w:w="30" w:type="dxa"/>
              <w:left w:w="0" w:type="dxa"/>
              <w:bottom w:w="0" w:type="dxa"/>
              <w:right w:w="0" w:type="dxa"/>
            </w:tcMar>
            <w:vAlign w:val="center"/>
          </w:tcPr>
          <w:p>
            <w:pPr>
              <w:pStyle w:val="TableContents"/>
              <w:bidi w:val="0"/>
              <w:spacing w:lineRule="auto" w:line="300" w:before="0" w:after="283"/>
              <w:jc w:val="center"/>
              <w:rPr>
                <w:rFonts w:ascii="Times New Roman;sans-serif" w:hAnsi="Times New Roman;sans-serif"/>
                <w:b/>
                <w:color w:val="000000"/>
                <w:sz w:val="16"/>
              </w:rPr>
            </w:pPr>
            <w:r>
              <w:rPr>
                <w:rFonts w:ascii="Times New Roman;sans-serif" w:hAnsi="Times New Roman;sans-serif"/>
                <w:b/>
                <w:color w:val="000000"/>
                <w:sz w:val="16"/>
              </w:rPr>
              <w:t>2023</w:t>
            </w:r>
          </w:p>
        </w:tc>
        <w:tc>
          <w:tcPr>
            <w:tcW w:w="327" w:type="dxa"/>
            <w:gridSpan w:val="3"/>
            <w:tcBorders>
              <w:top w:val="single" w:sz="8" w:space="0" w:color="000000"/>
            </w:tcBorders>
            <w:tcMar>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235" w:type="dxa"/>
            <w:gridSpan w:val="3"/>
            <w:tcBorders>
              <w:top w:val="single" w:sz="8" w:space="0" w:color="000000"/>
            </w:tcBorders>
            <w:tcMar>
              <w:top w:w="30" w:type="dxa"/>
              <w:left w:w="0" w:type="dxa"/>
              <w:bottom w:w="0" w:type="dxa"/>
              <w:right w:w="0" w:type="dxa"/>
            </w:tcMar>
            <w:vAlign w:val="center"/>
          </w:tcPr>
          <w:p>
            <w:pPr>
              <w:pStyle w:val="TableContents"/>
              <w:bidi w:val="0"/>
              <w:spacing w:lineRule="auto" w:line="300" w:before="0" w:after="283"/>
              <w:jc w:val="center"/>
              <w:rPr>
                <w:rFonts w:ascii="Times New Roman;sans-serif" w:hAnsi="Times New Roman;sans-serif"/>
                <w:b/>
                <w:color w:val="000000"/>
                <w:sz w:val="16"/>
              </w:rPr>
            </w:pPr>
            <w:r>
              <w:rPr>
                <w:rFonts w:ascii="Times New Roman;sans-serif" w:hAnsi="Times New Roman;sans-serif"/>
                <w:b/>
                <w:color w:val="000000"/>
                <w:sz w:val="16"/>
              </w:rPr>
              <w:t>2022</w:t>
            </w:r>
          </w:p>
        </w:tc>
      </w:tr>
      <w:tr>
        <w:trPr/>
        <w:tc>
          <w:tcPr>
            <w:tcW w:w="3974"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Product revenue, net</w:t>
            </w:r>
          </w:p>
        </w:tc>
        <w:tc>
          <w:tcPr>
            <w:tcW w:w="240" w:type="dxa"/>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41" w:type="dxa"/>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4,118 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240" w:type="dxa"/>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41" w:type="dxa"/>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2,673 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974" w:type="dxa"/>
            <w:gridSpan w:val="3"/>
            <w:tcBorders/>
            <w:shd w:fill="FFFF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Costs and operating expenses:</w:t>
            </w:r>
          </w:p>
        </w:tc>
        <w:tc>
          <w:tcPr>
            <w:tcW w:w="1190"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235"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974"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Cost of sales</w:t>
            </w:r>
          </w:p>
        </w:tc>
        <w:tc>
          <w:tcPr>
            <w:tcW w:w="1081"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118 </w:t>
            </w:r>
          </w:p>
        </w:tc>
        <w:tc>
          <w:tcPr>
            <w:tcW w:w="109"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081"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110 </w:t>
            </w:r>
          </w:p>
        </w:tc>
        <w:tc>
          <w:tcPr>
            <w:tcW w:w="154"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974" w:type="dxa"/>
            <w:gridSpan w:val="3"/>
            <w:tcBorders/>
            <w:shd w:fill="FFFFFF" w:val="clear"/>
            <w:tcMar>
              <w:top w:w="0" w:type="dxa"/>
              <w:left w:w="0" w:type="dxa"/>
              <w:bottom w:w="0" w:type="dxa"/>
              <w:right w:w="0" w:type="dxa"/>
            </w:tcMar>
            <w:vAlign w:val="center"/>
          </w:tcPr>
          <w:p>
            <w:pPr>
              <w:pStyle w:val="TableContents"/>
              <w:bidi w:val="0"/>
              <w:spacing w:lineRule="auto" w:line="300" w:before="0" w:after="2"/>
              <w:jc w:val="left"/>
              <w:rPr/>
            </w:pPr>
            <w:r>
              <w:rPr>
                <w:rFonts w:ascii="Times New Roman;sans-serif" w:hAnsi="Times New Roman;sans-serif"/>
                <w:b w:val="false"/>
                <w:color w:val="000000"/>
                <w:sz w:val="20"/>
              </w:rPr>
              <w:t>Research and development</w:t>
            </w:r>
            <w:r>
              <w:rPr>
                <w:rFonts w:ascii="Times New Roman;sans-serif" w:hAnsi="Times New Roman;sans-serif"/>
                <w:b w:val="false"/>
                <w:color w:val="000000"/>
                <w:sz w:val="13"/>
              </w:rPr>
              <w:t>(1)</w:t>
            </w:r>
          </w:p>
        </w:tc>
        <w:tc>
          <w:tcPr>
            <w:tcW w:w="1081"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16,748 </w:t>
            </w:r>
          </w:p>
        </w:tc>
        <w:tc>
          <w:tcPr>
            <w:tcW w:w="109"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081"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17,570 </w:t>
            </w:r>
          </w:p>
        </w:tc>
        <w:tc>
          <w:tcPr>
            <w:tcW w:w="154"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974"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pPr>
            <w:r>
              <w:rPr>
                <w:rFonts w:ascii="Times New Roman;sans-serif" w:hAnsi="Times New Roman;sans-serif"/>
                <w:b w:val="false"/>
                <w:color w:val="000000"/>
                <w:sz w:val="20"/>
              </w:rPr>
              <w:t>Selling, general and administrative</w:t>
            </w:r>
            <w:r>
              <w:rPr>
                <w:rFonts w:ascii="Times New Roman;sans-serif" w:hAnsi="Times New Roman;sans-serif"/>
                <w:b w:val="false"/>
                <w:color w:val="000000"/>
                <w:sz w:val="13"/>
              </w:rPr>
              <w:t>(1)</w:t>
            </w:r>
          </w:p>
        </w:tc>
        <w:tc>
          <w:tcPr>
            <w:tcW w:w="1081"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9,515 </w:t>
            </w:r>
          </w:p>
        </w:tc>
        <w:tc>
          <w:tcPr>
            <w:tcW w:w="109"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081"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6,813 </w:t>
            </w:r>
          </w:p>
        </w:tc>
        <w:tc>
          <w:tcPr>
            <w:tcW w:w="154"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974" w:type="dxa"/>
            <w:gridSpan w:val="3"/>
            <w:tcBorders/>
            <w:shd w:fill="FFFF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Total operating expenses</w:t>
            </w:r>
          </w:p>
        </w:tc>
        <w:tc>
          <w:tcPr>
            <w:tcW w:w="1081" w:type="dxa"/>
            <w:gridSpan w:val="2"/>
            <w:tcBorders>
              <w:top w:val="single" w:sz="8" w:space="0" w:color="000000"/>
            </w:tcBorders>
            <w:shd w:fill="FFFFFF" w:val="clear"/>
            <w:tcMar>
              <w:top w:w="3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26,381 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081" w:type="dxa"/>
            <w:gridSpan w:val="2"/>
            <w:tcBorders>
              <w:top w:val="single" w:sz="8" w:space="0" w:color="000000"/>
            </w:tcBorders>
            <w:shd w:fill="FFFFFF" w:val="clear"/>
            <w:tcMar>
              <w:top w:w="3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24,493 </w:t>
            </w:r>
          </w:p>
        </w:tc>
        <w:tc>
          <w:tcPr>
            <w:tcW w:w="154" w:type="dxa"/>
            <w:tcBorders>
              <w:top w:val="single" w:sz="8" w:space="0" w:color="000000"/>
            </w:tcBorders>
            <w:shd w:fill="FFFFFF" w:val="clear"/>
            <w:tcMar>
              <w:top w:w="3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974"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Loss from operations</w:t>
            </w:r>
          </w:p>
        </w:tc>
        <w:tc>
          <w:tcPr>
            <w:tcW w:w="1081" w:type="dxa"/>
            <w:gridSpan w:val="2"/>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(22,263)</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081" w:type="dxa"/>
            <w:gridSpan w:val="2"/>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(21,820)</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974" w:type="dxa"/>
            <w:gridSpan w:val="3"/>
            <w:tcBorders/>
            <w:shd w:fill="FFFF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Interest expense</w:t>
            </w:r>
          </w:p>
        </w:tc>
        <w:tc>
          <w:tcPr>
            <w:tcW w:w="1081"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(1,285)</w:t>
            </w:r>
          </w:p>
        </w:tc>
        <w:tc>
          <w:tcPr>
            <w:tcW w:w="109"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081"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(886)</w:t>
            </w:r>
          </w:p>
        </w:tc>
        <w:tc>
          <w:tcPr>
            <w:tcW w:w="154"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974"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Interest income</w:t>
            </w:r>
          </w:p>
        </w:tc>
        <w:tc>
          <w:tcPr>
            <w:tcW w:w="1081"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711 </w:t>
            </w:r>
          </w:p>
        </w:tc>
        <w:tc>
          <w:tcPr>
            <w:tcW w:w="109"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081"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45 </w:t>
            </w:r>
          </w:p>
        </w:tc>
        <w:tc>
          <w:tcPr>
            <w:tcW w:w="154"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974" w:type="dxa"/>
            <w:gridSpan w:val="3"/>
            <w:tcBorders/>
            <w:shd w:fill="FFFF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Other income (expense), net</w:t>
            </w:r>
          </w:p>
        </w:tc>
        <w:tc>
          <w:tcPr>
            <w:tcW w:w="1081"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55 </w:t>
            </w:r>
          </w:p>
        </w:tc>
        <w:tc>
          <w:tcPr>
            <w:tcW w:w="109"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081"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27 </w:t>
            </w:r>
          </w:p>
        </w:tc>
        <w:tc>
          <w:tcPr>
            <w:tcW w:w="154"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974"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Income (loss) before provision for taxes</w:t>
            </w:r>
          </w:p>
        </w:tc>
        <w:tc>
          <w:tcPr>
            <w:tcW w:w="1081" w:type="dxa"/>
            <w:gridSpan w:val="2"/>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(22,782)</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081" w:type="dxa"/>
            <w:gridSpan w:val="2"/>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(22,634)</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974" w:type="dxa"/>
            <w:gridSpan w:val="3"/>
            <w:tcBorders/>
            <w:shd w:fill="FFFF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Provision for income taxes</w:t>
            </w:r>
          </w:p>
        </w:tc>
        <w:tc>
          <w:tcPr>
            <w:tcW w:w="1081"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2 </w:t>
            </w:r>
          </w:p>
        </w:tc>
        <w:tc>
          <w:tcPr>
            <w:tcW w:w="109"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081"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9 </w:t>
            </w:r>
          </w:p>
        </w:tc>
        <w:tc>
          <w:tcPr>
            <w:tcW w:w="154"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974"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Net loss</w:t>
            </w:r>
          </w:p>
        </w:tc>
        <w:tc>
          <w:tcPr>
            <w:tcW w:w="240" w:type="dxa"/>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41" w:type="dxa"/>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(22,784)</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240" w:type="dxa"/>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41" w:type="dxa"/>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(22,643)</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974" w:type="dxa"/>
            <w:gridSpan w:val="3"/>
            <w:tcBorders/>
            <w:shd w:fill="FFFF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Net income (loss) per common share:</w:t>
            </w:r>
          </w:p>
        </w:tc>
        <w:tc>
          <w:tcPr>
            <w:tcW w:w="1190" w:type="dxa"/>
            <w:gridSpan w:val="3"/>
            <w:tcBorders>
              <w:top w:val="double" w:sz="8" w:space="0" w:color="000000"/>
            </w:tcBorders>
            <w:shd w:fill="FFFFFF" w:val="clear"/>
            <w:tcMar>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235" w:type="dxa"/>
            <w:gridSpan w:val="3"/>
            <w:tcBorders>
              <w:top w:val="double" w:sz="8" w:space="0" w:color="000000"/>
            </w:tcBorders>
            <w:shd w:fill="FFFFFF" w:val="clear"/>
            <w:tcMar>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974"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Basic and diluted</w:t>
            </w:r>
          </w:p>
        </w:tc>
        <w:tc>
          <w:tcPr>
            <w:tcW w:w="240" w:type="dxa"/>
            <w:tcBorders/>
            <w:shd w:fill="CCEEFF" w:val="clear"/>
            <w:tcMar>
              <w:top w:w="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41" w:type="dxa"/>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(0.52)</w:t>
            </w:r>
          </w:p>
        </w:tc>
        <w:tc>
          <w:tcPr>
            <w:tcW w:w="109"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240" w:type="dxa"/>
            <w:tcBorders/>
            <w:shd w:fill="CCEEFF" w:val="clear"/>
            <w:tcMar>
              <w:top w:w="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41" w:type="dxa"/>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(0.64)</w:t>
            </w:r>
          </w:p>
        </w:tc>
        <w:tc>
          <w:tcPr>
            <w:tcW w:w="154"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974" w:type="dxa"/>
            <w:gridSpan w:val="3"/>
            <w:tcBorders/>
            <w:shd w:fill="FFFF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Weighted-average common shares outstanding:</w:t>
            </w:r>
          </w:p>
        </w:tc>
        <w:tc>
          <w:tcPr>
            <w:tcW w:w="1190" w:type="dxa"/>
            <w:gridSpan w:val="3"/>
            <w:tcBorders>
              <w:top w:val="double" w:sz="8" w:space="0" w:color="000000"/>
            </w:tcBorders>
            <w:shd w:fill="FFFFFF" w:val="clear"/>
            <w:tcMar>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235" w:type="dxa"/>
            <w:gridSpan w:val="3"/>
            <w:tcBorders>
              <w:top w:val="double" w:sz="8" w:space="0" w:color="000000"/>
            </w:tcBorders>
            <w:shd w:fill="FFFFFF" w:val="clear"/>
            <w:tcMar>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974"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Basic and diluted</w:t>
            </w:r>
          </w:p>
        </w:tc>
        <w:tc>
          <w:tcPr>
            <w:tcW w:w="1081"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44,145,635 </w:t>
            </w:r>
          </w:p>
        </w:tc>
        <w:tc>
          <w:tcPr>
            <w:tcW w:w="109"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081" w:type="dxa"/>
            <w:gridSpan w:val="2"/>
            <w:tcBorders/>
            <w:shd w:fill="CCEE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35,253,147 </w:t>
            </w:r>
          </w:p>
        </w:tc>
        <w:tc>
          <w:tcPr>
            <w:tcW w:w="154" w:type="dxa"/>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974"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190" w:type="dxa"/>
            <w:gridSpan w:val="3"/>
            <w:tcBorders>
              <w:top w:val="double" w:sz="8" w:space="0" w:color="000000"/>
            </w:tcBorders>
            <w:tcMar>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1235" w:type="dxa"/>
            <w:gridSpan w:val="3"/>
            <w:tcBorders>
              <w:top w:val="double" w:sz="8" w:space="0" w:color="000000"/>
            </w:tcBorders>
            <w:tcMar>
              <w:left w:w="0" w:type="dxa"/>
              <w:bottom w:w="0" w:type="dxa"/>
              <w:right w:w="0" w:type="dxa"/>
            </w:tcMar>
            <w:vAlign w:val="center"/>
          </w:tcPr>
          <w:p>
            <w:pPr>
              <w:pStyle w:val="TableContents"/>
              <w:bidi w:val="0"/>
              <w:spacing w:before="0" w:after="283"/>
              <w:jc w:val="left"/>
              <w:rPr>
                <w:sz w:val="4"/>
                <w:szCs w:val="4"/>
              </w:rPr>
            </w:pPr>
            <w:r>
              <w:rPr>
                <w:sz w:val="4"/>
                <w:szCs w:val="4"/>
              </w:rPr>
            </w:r>
          </w:p>
        </w:tc>
      </w:tr>
    </w:tbl>
    <w:p>
      <w:pPr>
        <w:pStyle w:val="TextBody"/>
        <w:bidi w:val="0"/>
        <w:spacing w:lineRule="auto" w:line="288" w:before="240" w:after="283"/>
        <w:ind w:left="0" w:right="0" w:hanging="540"/>
        <w:jc w:val="left"/>
        <w:rPr/>
      </w:pPr>
      <w:r>
        <w:rPr>
          <w:rFonts w:ascii="Times New Roman;sans-serif" w:hAnsi="Times New Roman;sans-serif"/>
          <w:b w:val="false"/>
          <w:color w:val="000000"/>
          <w:sz w:val="13"/>
        </w:rPr>
        <w:t>(1)</w:t>
      </w:r>
      <w:r>
        <w:rPr>
          <w:rFonts w:ascii="Times New Roman;sans-serif" w:hAnsi="Times New Roman;sans-serif"/>
          <w:b w:val="false"/>
          <w:color w:val="000000"/>
          <w:sz w:val="20"/>
        </w:rPr>
        <w:t>Includes stock-based compensation expense of:</w:t>
      </w:r>
    </w:p>
    <w:tbl>
      <w:tblPr>
        <w:tblW w:w="5694" w:type="dxa"/>
        <w:jc w:val="left"/>
        <w:tblInd w:w="0" w:type="dxa"/>
        <w:tblLayout w:type="fixed"/>
        <w:tblCellMar>
          <w:top w:w="28" w:type="dxa"/>
          <w:left w:w="28" w:type="dxa"/>
          <w:bottom w:w="28" w:type="dxa"/>
          <w:right w:w="28" w:type="dxa"/>
        </w:tblCellMar>
      </w:tblPr>
      <w:tblGrid>
        <w:gridCol w:w="1250"/>
        <w:gridCol w:w="1097"/>
        <w:gridCol w:w="1103"/>
        <w:gridCol w:w="211"/>
        <w:gridCol w:w="616"/>
        <w:gridCol w:w="109"/>
        <w:gridCol w:w="109"/>
        <w:gridCol w:w="109"/>
        <w:gridCol w:w="109"/>
        <w:gridCol w:w="211"/>
        <w:gridCol w:w="616"/>
        <w:gridCol w:w="154"/>
      </w:tblGrid>
      <w:tr>
        <w:trPr/>
        <w:tc>
          <w:tcPr>
            <w:tcW w:w="1250" w:type="dxa"/>
            <w:tcBorders/>
            <w:vAlign w:val="center"/>
          </w:tcPr>
          <w:p>
            <w:pPr>
              <w:pStyle w:val="TableContents"/>
              <w:bidi w:val="0"/>
              <w:spacing w:before="0" w:after="283"/>
              <w:jc w:val="left"/>
              <w:rPr>
                <w:sz w:val="4"/>
                <w:szCs w:val="4"/>
              </w:rPr>
            </w:pPr>
            <w:r>
              <w:rPr>
                <w:sz w:val="4"/>
                <w:szCs w:val="4"/>
              </w:rPr>
            </w:r>
          </w:p>
        </w:tc>
        <w:tc>
          <w:tcPr>
            <w:tcW w:w="1097" w:type="dxa"/>
            <w:tcBorders/>
            <w:vAlign w:val="center"/>
          </w:tcPr>
          <w:p>
            <w:pPr>
              <w:pStyle w:val="TableContents"/>
              <w:bidi w:val="0"/>
              <w:spacing w:before="0" w:after="283"/>
              <w:jc w:val="left"/>
              <w:rPr>
                <w:sz w:val="4"/>
                <w:szCs w:val="4"/>
              </w:rPr>
            </w:pPr>
            <w:r>
              <w:rPr>
                <w:sz w:val="4"/>
                <w:szCs w:val="4"/>
              </w:rPr>
            </w:r>
          </w:p>
        </w:tc>
        <w:tc>
          <w:tcPr>
            <w:tcW w:w="1103" w:type="dxa"/>
            <w:tcBorders/>
            <w:vAlign w:val="center"/>
          </w:tcPr>
          <w:p>
            <w:pPr>
              <w:pStyle w:val="TableContents"/>
              <w:bidi w:val="0"/>
              <w:spacing w:before="0" w:after="283"/>
              <w:jc w:val="left"/>
              <w:rPr>
                <w:sz w:val="4"/>
                <w:szCs w:val="4"/>
              </w:rPr>
            </w:pPr>
            <w:r>
              <w:rPr>
                <w:sz w:val="4"/>
                <w:szCs w:val="4"/>
              </w:rPr>
            </w:r>
          </w:p>
        </w:tc>
        <w:tc>
          <w:tcPr>
            <w:tcW w:w="211" w:type="dxa"/>
            <w:tcBorders/>
            <w:vAlign w:val="center"/>
          </w:tcPr>
          <w:p>
            <w:pPr>
              <w:pStyle w:val="TableContents"/>
              <w:bidi w:val="0"/>
              <w:spacing w:before="0" w:after="283"/>
              <w:jc w:val="left"/>
              <w:rPr>
                <w:sz w:val="4"/>
                <w:szCs w:val="4"/>
              </w:rPr>
            </w:pPr>
            <w:r>
              <w:rPr>
                <w:sz w:val="4"/>
                <w:szCs w:val="4"/>
              </w:rPr>
            </w:r>
          </w:p>
        </w:tc>
        <w:tc>
          <w:tcPr>
            <w:tcW w:w="616"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109" w:type="dxa"/>
            <w:tcBorders/>
            <w:vAlign w:val="center"/>
          </w:tcPr>
          <w:p>
            <w:pPr>
              <w:pStyle w:val="TableContents"/>
              <w:bidi w:val="0"/>
              <w:spacing w:before="0" w:after="283"/>
              <w:jc w:val="left"/>
              <w:rPr>
                <w:sz w:val="4"/>
                <w:szCs w:val="4"/>
              </w:rPr>
            </w:pPr>
            <w:r>
              <w:rPr>
                <w:sz w:val="4"/>
                <w:szCs w:val="4"/>
              </w:rPr>
            </w:r>
          </w:p>
        </w:tc>
        <w:tc>
          <w:tcPr>
            <w:tcW w:w="211" w:type="dxa"/>
            <w:tcBorders/>
            <w:vAlign w:val="center"/>
          </w:tcPr>
          <w:p>
            <w:pPr>
              <w:pStyle w:val="TableContents"/>
              <w:bidi w:val="0"/>
              <w:spacing w:before="0" w:after="283"/>
              <w:jc w:val="left"/>
              <w:rPr>
                <w:sz w:val="4"/>
                <w:szCs w:val="4"/>
              </w:rPr>
            </w:pPr>
            <w:r>
              <w:rPr>
                <w:sz w:val="4"/>
                <w:szCs w:val="4"/>
              </w:rPr>
            </w:r>
          </w:p>
        </w:tc>
        <w:tc>
          <w:tcPr>
            <w:tcW w:w="616" w:type="dxa"/>
            <w:tcBorders/>
            <w:vAlign w:val="center"/>
          </w:tcPr>
          <w:p>
            <w:pPr>
              <w:pStyle w:val="TableContents"/>
              <w:bidi w:val="0"/>
              <w:spacing w:before="0" w:after="283"/>
              <w:jc w:val="left"/>
              <w:rPr>
                <w:sz w:val="4"/>
                <w:szCs w:val="4"/>
              </w:rPr>
            </w:pPr>
            <w:r>
              <w:rPr>
                <w:sz w:val="4"/>
                <w:szCs w:val="4"/>
              </w:rPr>
            </w:r>
          </w:p>
        </w:tc>
        <w:tc>
          <w:tcPr>
            <w:tcW w:w="154" w:type="dxa"/>
            <w:tcBorders/>
            <w:vAlign w:val="center"/>
          </w:tcPr>
          <w:p>
            <w:pPr>
              <w:pStyle w:val="TableContents"/>
              <w:bidi w:val="0"/>
              <w:spacing w:before="0" w:after="283"/>
              <w:jc w:val="left"/>
              <w:rPr>
                <w:sz w:val="4"/>
                <w:szCs w:val="4"/>
              </w:rPr>
            </w:pPr>
            <w:r>
              <w:rPr>
                <w:sz w:val="4"/>
                <w:szCs w:val="4"/>
              </w:rPr>
            </w:r>
          </w:p>
        </w:tc>
      </w:tr>
      <w:tr>
        <w:trPr/>
        <w:tc>
          <w:tcPr>
            <w:tcW w:w="3450"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2244" w:type="dxa"/>
            <w:gridSpan w:val="9"/>
            <w:tcBorders/>
            <w:tcMar>
              <w:top w:w="0" w:type="dxa"/>
              <w:left w:w="0" w:type="dxa"/>
              <w:bottom w:w="0" w:type="dxa"/>
              <w:right w:w="0" w:type="dxa"/>
            </w:tcMar>
            <w:vAlign w:val="center"/>
          </w:tcPr>
          <w:p>
            <w:pPr>
              <w:pStyle w:val="TableContents"/>
              <w:bidi w:val="0"/>
              <w:spacing w:lineRule="auto" w:line="300" w:before="0" w:after="283"/>
              <w:jc w:val="center"/>
              <w:rPr>
                <w:rFonts w:ascii="Times New Roman;sans-serif" w:hAnsi="Times New Roman;sans-serif"/>
                <w:b/>
                <w:color w:val="000000"/>
                <w:sz w:val="16"/>
              </w:rPr>
            </w:pPr>
            <w:r>
              <w:rPr>
                <w:rFonts w:ascii="Times New Roman;sans-serif" w:hAnsi="Times New Roman;sans-serif"/>
                <w:b/>
                <w:color w:val="000000"/>
                <w:sz w:val="16"/>
              </w:rPr>
              <w:t>Three Months Ended</w:t>
              <w:br/>
              <w:t>March 31,</w:t>
            </w:r>
          </w:p>
        </w:tc>
      </w:tr>
      <w:tr>
        <w:trPr/>
        <w:tc>
          <w:tcPr>
            <w:tcW w:w="3450" w:type="dxa"/>
            <w:gridSpan w:val="3"/>
            <w:tcBorders/>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936" w:type="dxa"/>
            <w:gridSpan w:val="3"/>
            <w:tcBorders>
              <w:top w:val="single" w:sz="8" w:space="0" w:color="000000"/>
            </w:tcBorders>
            <w:tcMar>
              <w:top w:w="30" w:type="dxa"/>
              <w:left w:w="0" w:type="dxa"/>
              <w:bottom w:w="0" w:type="dxa"/>
              <w:right w:w="0" w:type="dxa"/>
            </w:tcMar>
            <w:vAlign w:val="center"/>
          </w:tcPr>
          <w:p>
            <w:pPr>
              <w:pStyle w:val="TableContents"/>
              <w:bidi w:val="0"/>
              <w:spacing w:lineRule="auto" w:line="300" w:before="0" w:after="283"/>
              <w:jc w:val="center"/>
              <w:rPr>
                <w:rFonts w:ascii="Times New Roman;sans-serif" w:hAnsi="Times New Roman;sans-serif"/>
                <w:b/>
                <w:color w:val="000000"/>
                <w:sz w:val="16"/>
              </w:rPr>
            </w:pPr>
            <w:r>
              <w:rPr>
                <w:rFonts w:ascii="Times New Roman;sans-serif" w:hAnsi="Times New Roman;sans-serif"/>
                <w:b/>
                <w:color w:val="000000"/>
                <w:sz w:val="16"/>
              </w:rPr>
              <w:t>2023</w:t>
            </w:r>
          </w:p>
        </w:tc>
        <w:tc>
          <w:tcPr>
            <w:tcW w:w="327" w:type="dxa"/>
            <w:gridSpan w:val="3"/>
            <w:tcBorders>
              <w:top w:val="single" w:sz="8" w:space="0" w:color="000000"/>
            </w:tcBorders>
            <w:tcMar>
              <w:left w:w="0" w:type="dxa"/>
              <w:bottom w:w="0" w:type="dxa"/>
              <w:right w:w="0" w:type="dxa"/>
            </w:tcMar>
            <w:vAlign w:val="center"/>
          </w:tcPr>
          <w:p>
            <w:pPr>
              <w:pStyle w:val="TableContents"/>
              <w:bidi w:val="0"/>
              <w:spacing w:before="0" w:after="283"/>
              <w:jc w:val="left"/>
              <w:rPr>
                <w:sz w:val="4"/>
                <w:szCs w:val="4"/>
              </w:rPr>
            </w:pPr>
            <w:r>
              <w:rPr>
                <w:sz w:val="4"/>
                <w:szCs w:val="4"/>
              </w:rPr>
            </w:r>
          </w:p>
        </w:tc>
        <w:tc>
          <w:tcPr>
            <w:tcW w:w="981" w:type="dxa"/>
            <w:gridSpan w:val="3"/>
            <w:tcBorders>
              <w:top w:val="single" w:sz="8" w:space="0" w:color="000000"/>
            </w:tcBorders>
            <w:tcMar>
              <w:top w:w="30" w:type="dxa"/>
              <w:left w:w="0" w:type="dxa"/>
              <w:bottom w:w="0" w:type="dxa"/>
              <w:right w:w="0" w:type="dxa"/>
            </w:tcMar>
            <w:vAlign w:val="center"/>
          </w:tcPr>
          <w:p>
            <w:pPr>
              <w:pStyle w:val="TableContents"/>
              <w:bidi w:val="0"/>
              <w:spacing w:lineRule="auto" w:line="300" w:before="0" w:after="283"/>
              <w:jc w:val="center"/>
              <w:rPr>
                <w:rFonts w:ascii="Times New Roman;sans-serif" w:hAnsi="Times New Roman;sans-serif"/>
                <w:b/>
                <w:color w:val="000000"/>
                <w:sz w:val="16"/>
              </w:rPr>
            </w:pPr>
            <w:r>
              <w:rPr>
                <w:rFonts w:ascii="Times New Roman;sans-serif" w:hAnsi="Times New Roman;sans-serif"/>
                <w:b/>
                <w:color w:val="000000"/>
                <w:sz w:val="16"/>
              </w:rPr>
              <w:t>2022</w:t>
            </w:r>
          </w:p>
        </w:tc>
      </w:tr>
      <w:tr>
        <w:trPr/>
        <w:tc>
          <w:tcPr>
            <w:tcW w:w="3450"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Research and development</w:t>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834 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tcBorders>
            <w:shd w:fill="CCEEFF" w:val="clear"/>
            <w:tcMar>
              <w:top w:w="3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625 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450" w:type="dxa"/>
            <w:gridSpan w:val="3"/>
            <w:tcBorders/>
            <w:shd w:fill="FFFF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General and administrative</w:t>
            </w:r>
          </w:p>
        </w:tc>
        <w:tc>
          <w:tcPr>
            <w:tcW w:w="827"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1,709 </w:t>
            </w:r>
          </w:p>
        </w:tc>
        <w:tc>
          <w:tcPr>
            <w:tcW w:w="109"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827" w:type="dxa"/>
            <w:gridSpan w:val="2"/>
            <w:tcBorders/>
            <w:shd w:fill="FFFFFF" w:val="clear"/>
            <w:tcMar>
              <w:top w:w="0" w:type="dxa"/>
              <w:left w:w="0" w:type="dxa"/>
              <w:bottom w:w="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1,422 </w:t>
            </w:r>
          </w:p>
        </w:tc>
        <w:tc>
          <w:tcPr>
            <w:tcW w:w="154" w:type="dxa"/>
            <w:tcBorders/>
            <w:shd w:fill="FFFF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r>
      <w:tr>
        <w:trPr/>
        <w:tc>
          <w:tcPr>
            <w:tcW w:w="3450" w:type="dxa"/>
            <w:gridSpan w:val="3"/>
            <w:tcBorders/>
            <w:shd w:fill="CCEEFF" w:val="clear"/>
            <w:tcMar>
              <w:top w:w="0" w:type="dxa"/>
              <w:left w:w="0" w:type="dxa"/>
              <w:bottom w:w="0" w:type="dxa"/>
              <w:right w:w="0" w:type="dxa"/>
            </w:tcMar>
            <w:vAlign w:val="center"/>
          </w:tcPr>
          <w:p>
            <w:pPr>
              <w:pStyle w:val="TableContents"/>
              <w:bidi w:val="0"/>
              <w:spacing w:lineRule="auto" w:line="300" w:before="0" w:after="2"/>
              <w:jc w:val="left"/>
              <w:rPr>
                <w:rFonts w:ascii="Times New Roman;sans-serif" w:hAnsi="Times New Roman;sans-serif"/>
                <w:b w:val="false"/>
                <w:color w:val="000000"/>
                <w:sz w:val="20"/>
              </w:rPr>
            </w:pPr>
            <w:r>
              <w:rPr>
                <w:rFonts w:ascii="Times New Roman;sans-serif" w:hAnsi="Times New Roman;sans-serif"/>
                <w:b w:val="false"/>
                <w:color w:val="000000"/>
                <w:sz w:val="20"/>
              </w:rPr>
              <w:t>Total stock-based compensation expense</w:t>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2,543 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bidi w:val="0"/>
              <w:spacing w:before="0" w:after="283"/>
              <w:jc w:val="left"/>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bidi w:val="0"/>
              <w:spacing w:before="0" w:after="283"/>
              <w:jc w:val="left"/>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bidi w:val="0"/>
              <w:spacing w:lineRule="auto" w:line="30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61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bidi w:val="0"/>
              <w:spacing w:lineRule="auto" w:line="30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2,047 </w:t>
            </w:r>
          </w:p>
        </w:tc>
        <w:tc>
          <w:tcPr>
            <w:tcW w:w="15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bidi w:val="0"/>
              <w:spacing w:before="0" w:after="283"/>
              <w:jc w:val="left"/>
              <w:rPr>
                <w:sz w:val="4"/>
                <w:szCs w:val="4"/>
              </w:rPr>
            </w:pPr>
            <w:r>
              <w:rPr>
                <w:sz w:val="4"/>
                <w:szCs w:val="4"/>
              </w:rPr>
            </w:r>
          </w:p>
        </w:tc>
      </w:tr>
    </w:tbl>
    <w:p>
      <w:pPr>
        <w:pStyle w:val="TextBody"/>
        <w:bidi w:val="0"/>
        <w:spacing w:before="0" w:after="283"/>
        <w:jc w:val="left"/>
        <w:rPr/>
      </w:pPr>
      <w:r>
        <w:rPr/>
      </w:r>
      <w:r>
        <mc:AlternateContent>
          <mc:Choice Requires="wps">
            <w:drawing>
              <wp:anchor behindDoc="0" distT="0" distB="0" distL="0" distR="0" simplePos="0" locked="0" layoutInCell="1" allowOverlap="1" relativeHeight="11">
                <wp:simplePos x="0" y="0"/>
                <wp:positionH relativeFrom="character">
                  <wp:align>left</wp:align>
                </wp:positionH>
                <wp:positionV relativeFrom="line">
                  <wp:posOffset>635</wp:posOffset>
                </wp:positionV>
                <wp:extent cx="6480175" cy="175260"/>
                <wp:effectExtent l="0" t="0" r="0" b="0"/>
                <wp:wrapNone/>
                <wp:docPr id="10" name="Frame8"/>
                <a:graphic xmlns:a="http://schemas.openxmlformats.org/drawingml/2006/main">
                  <a:graphicData uri="http://schemas.microsoft.com/office/word/2010/wordprocessingShape">
                    <wps:wsp>
                      <wps:cNvSpPr txBox="1"/>
                      <wps:spPr>
                        <a:xfrm>
                          <a:off x="0" y="0"/>
                          <a:ext cx="6480175" cy="175260"/>
                        </a:xfrm>
                        <a:prstGeom prst="rect"/>
                        <a:solidFill>
                          <a:srgbClr val="FFFFFF"/>
                        </a:solidFill>
                      </wps:spPr>
                      <wps:txbx>
                        <w:txbxContent>
                          <w:p>
                            <w:pPr>
                              <w:pStyle w:val="TextBody"/>
                              <w:bidi w:val="0"/>
                              <w:spacing w:before="0" w:after="2"/>
                              <w:jc w:val="left"/>
                              <w:rPr/>
                            </w:pPr>
                            <w:r>
                              <w:rPr/>
                            </w:r>
                            <w:r>
                              <w:br w:type="page"/>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bidi w:val="0"/>
                        <w:spacing w:before="0" w:after="2"/>
                        <w:jc w:val="left"/>
                        <w:rPr/>
                      </w:pPr>
                      <w:r>
                        <w:rPr/>
                      </w:r>
                    </w:p>
                  </w:txbxContent>
                </v:textbox>
                <w10:wrap type="none"/>
              </v:rect>
            </w:pict>
          </mc:Fallback>
        </mc:AlternateContent>
      </w:r>
    </w:p>
    <w:sectPr>
      <w:type w:val="continuous"/>
      <w:pgSz w:w="11906" w:h="16838"/>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Unicode MS">
    <w:charset w:val="01"/>
    <w:family w:val="auto"/>
    <w:pitch w:val="variable"/>
  </w:font>
  <w:font w:name="Liberation Sans">
    <w:altName w:val="Arial"/>
    <w:charset w:val="01"/>
    <w:family w:val="swiss"/>
    <w:pitch w:val="variable"/>
  </w:font>
  <w:font w:name="Times New Roman">
    <w:altName w:val="sans-serif"/>
    <w:charset w:val="01"/>
    <w:family w:val="auto"/>
    <w:pitch w:val="default"/>
  </w:font>
  <w:font w:name="Wingdings">
    <w:altName w:val="sans-serif"/>
    <w:charset w:val="01"/>
    <w:family w:val="auto"/>
    <w:pitch w:val="default"/>
  </w:font>
</w:fonts>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Noto Sans Devanagari"/>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6</Pages>
  <Words>1986</Words>
  <Characters>11711</Characters>
  <CharactersWithSpaces>13508</CharactersWithSpaces>
  <Paragraphs>262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