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w:t>
      </w:r>
    </w:p>
    <w:p>
      <w:pPr>
        <w:jc w:val="center"/>
        <w:ind w:right="20"/>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Date of Report (Date of earliest event reported): June 15,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20"/>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00" w:space="720"/>
            <w:col w:w="2880" w:space="720"/>
            <w:col w:w="2200"/>
          </w:cols>
          <w:pgMar w:left="440" w:top="368" w:right="439" w:bottom="1440" w:gutter="0" w:footer="0" w:header="0"/>
          <w:type w:val="continuous"/>
        </w:sectPr>
      </w:pPr>
    </w:p>
    <w:p>
      <w:pPr>
        <w:spacing w:after="0" w:line="12" w:lineRule="exact"/>
        <w:rPr>
          <w:sz w:val="24"/>
          <w:szCs w:val="24"/>
          <w:color w:val="auto"/>
        </w:rPr>
      </w:pPr>
    </w:p>
    <w:p>
      <w:pPr>
        <w:jc w:val="center"/>
        <w:ind w:right="760"/>
        <w:spacing w:after="0"/>
        <w:rPr>
          <w:sz w:val="20"/>
          <w:szCs w:val="20"/>
          <w:color w:val="auto"/>
        </w:rPr>
      </w:pPr>
      <w:r>
        <w:rPr>
          <w:rFonts w:ascii="Arial" w:cs="Arial" w:eastAsia="Arial" w:hAnsi="Arial"/>
          <w:sz w:val="13"/>
          <w:szCs w:val="13"/>
          <w:b w:val="1"/>
          <w:bCs w:val="1"/>
          <w:color w:val="auto"/>
        </w:rPr>
        <w:t>(State or other jurisdiction</w:t>
      </w:r>
    </w:p>
    <w:p>
      <w:pPr>
        <w:jc w:val="center"/>
        <w:ind w:right="76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0" w:space="720"/>
            <w:col w:w="2760" w:space="720"/>
            <w:col w:w="2340"/>
          </w:cols>
          <w:pgMar w:left="440" w:top="368" w:right="439" w:bottom="1440" w:gutter="0" w:footer="0" w:header="0"/>
          <w:type w:val="continuous"/>
        </w:sectPr>
      </w:pPr>
    </w:p>
    <w:p>
      <w:pPr>
        <w:spacing w:after="0" w:line="19" w:lineRule="exact"/>
        <w:rPr>
          <w:sz w:val="24"/>
          <w:szCs w:val="24"/>
          <w:color w:val="auto"/>
        </w:rPr>
      </w:pPr>
    </w:p>
    <w:p>
      <w:pPr>
        <w:jc w:val="center"/>
        <w:ind w:right="1840"/>
        <w:spacing w:after="0"/>
        <w:rPr>
          <w:sz w:val="20"/>
          <w:szCs w:val="20"/>
          <w:color w:val="auto"/>
        </w:rPr>
      </w:pPr>
      <w:r>
        <w:rPr>
          <w:rFonts w:ascii="Arial" w:cs="Arial" w:eastAsia="Arial" w:hAnsi="Arial"/>
          <w:sz w:val="18"/>
          <w:szCs w:val="18"/>
          <w:b w:val="1"/>
          <w:bCs w:val="1"/>
          <w:color w:val="auto"/>
        </w:rPr>
        <w:t>2155 Park Blvd.</w:t>
      </w:r>
    </w:p>
    <w:p>
      <w:pPr>
        <w:spacing w:after="0" w:line="27" w:lineRule="exact"/>
        <w:rPr>
          <w:sz w:val="24"/>
          <w:szCs w:val="24"/>
          <w:color w:val="auto"/>
        </w:rPr>
      </w:pPr>
    </w:p>
    <w:p>
      <w:pPr>
        <w:jc w:val="center"/>
        <w:ind w:right="1840"/>
        <w:spacing w:after="0"/>
        <w:rPr>
          <w:sz w:val="20"/>
          <w:szCs w:val="20"/>
          <w:color w:val="auto"/>
        </w:rPr>
      </w:pPr>
      <w:r>
        <w:rPr>
          <w:rFonts w:ascii="Arial" w:cs="Arial" w:eastAsia="Arial" w:hAnsi="Arial"/>
          <w:sz w:val="16"/>
          <w:szCs w:val="16"/>
          <w:b w:val="1"/>
          <w:bCs w:val="1"/>
          <w:color w:val="auto"/>
        </w:rPr>
        <w:t>Palo Alto, California</w:t>
      </w:r>
    </w:p>
    <w:p>
      <w:pPr>
        <w:spacing w:after="0" w:line="20" w:lineRule="exact"/>
        <w:rPr>
          <w:sz w:val="24"/>
          <w:szCs w:val="24"/>
          <w:color w:val="auto"/>
        </w:rPr>
      </w:pPr>
      <w:r>
        <w:rPr>
          <w:sz w:val="24"/>
          <w:szCs w:val="24"/>
          <w:color w:val="auto"/>
        </w:rPr>
        <w:br w:type="column"/>
      </w:r>
    </w:p>
    <w:p>
      <w:pPr>
        <w:spacing w:after="0" w:line="215"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94306</w:t>
      </w:r>
    </w:p>
    <w:p>
      <w:pPr>
        <w:spacing w:after="0" w:line="61" w:lineRule="exact"/>
        <w:rPr>
          <w:sz w:val="24"/>
          <w:szCs w:val="24"/>
          <w:color w:val="auto"/>
        </w:rPr>
      </w:pPr>
    </w:p>
    <w:p>
      <w:pPr>
        <w:sectPr>
          <w:pgSz w:w="11900" w:h="16838" w:orient="portrait"/>
          <w:cols w:equalWidth="0" w:num="2">
            <w:col w:w="7400" w:space="720"/>
            <w:col w:w="2900"/>
          </w:cols>
          <w:pgMar w:left="440" w:top="368" w:right="439" w:bottom="1440" w:gutter="0" w:footer="0" w:header="0"/>
          <w:type w:val="continuous"/>
        </w:sectPr>
      </w:pPr>
    </w:p>
    <w:p>
      <w:pPr>
        <w:ind w:left="158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280" w:space="720"/>
            <w:col w:w="3020"/>
          </w:cols>
          <w:pgMar w:left="440" w:top="368" w:right="4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(650) 272-6138</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248920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7"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right="2020" w:firstLine="428"/>
        <w:spacing w:after="0" w:line="277" w:lineRule="auto"/>
        <w:tabs>
          <w:tab w:leader="none" w:pos="972"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76"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4"/>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(par value $0.001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EIGR</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The Nasdaq Stock Market LLC</w:t>
            </w:r>
          </w:p>
        </w:tc>
        <w:tc>
          <w:tcPr>
            <w:tcW w:w="0" w:type="dxa"/>
            <w:vAlign w:val="bottom"/>
          </w:tcPr>
          <w:p>
            <w:pPr>
              <w:spacing w:after="0"/>
              <w:rPr>
                <w:sz w:val="1"/>
                <w:szCs w:val="1"/>
                <w:color w:val="auto"/>
              </w:rPr>
            </w:pPr>
          </w:p>
        </w:tc>
      </w:tr>
    </w:tbl>
    <w:p>
      <w:pPr>
        <w:spacing w:after="0" w:line="187" w:lineRule="exact"/>
        <w:rPr>
          <w:sz w:val="24"/>
          <w:szCs w:val="24"/>
          <w:color w:val="auto"/>
        </w:rPr>
      </w:pPr>
    </w:p>
    <w:p>
      <w:pPr>
        <w:ind w:right="2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2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On June 15, 2020, Eiger BioPharmaceuticals, Inc.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held its annual meeting of stockholders (the “</w:t>
      </w:r>
      <w:r>
        <w:rPr>
          <w:rFonts w:ascii="Arial" w:cs="Arial" w:eastAsia="Arial" w:hAnsi="Arial"/>
          <w:sz w:val="17"/>
          <w:szCs w:val="17"/>
          <w:b w:val="1"/>
          <w:bCs w:val="1"/>
          <w:i w:val="1"/>
          <w:iCs w:val="1"/>
          <w:color w:val="auto"/>
        </w:rPr>
        <w:t>Annual Meeting</w:t>
      </w:r>
      <w:r>
        <w:rPr>
          <w:rFonts w:ascii="Arial" w:cs="Arial" w:eastAsia="Arial" w:hAnsi="Arial"/>
          <w:sz w:val="17"/>
          <w:szCs w:val="17"/>
          <w:color w:val="auto"/>
        </w:rPr>
        <w:t>”). The following is a brief description of each matter voted upon at the Annual Meeting, as well as the number of votes cast for or against each matter and the number of abstentions and broker non-votes with respect to each matter. A more complete description of each matter is described in more detail in the Company’s definitive proxy statement filed with the Securities and Exchange Commission on April 28, 2020.</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1—</w:t>
      </w:r>
      <w:r>
        <w:rPr>
          <w:rFonts w:ascii="Arial" w:cs="Arial" w:eastAsia="Arial" w:hAnsi="Arial"/>
          <w:sz w:val="18"/>
          <w:szCs w:val="18"/>
          <w:b w:val="1"/>
          <w:bCs w:val="1"/>
          <w:i w:val="1"/>
          <w:iCs w:val="1"/>
          <w:color w:val="auto"/>
        </w:rPr>
        <w:t>Election of Directors</w:t>
      </w:r>
    </w:p>
    <w:p>
      <w:pPr>
        <w:spacing w:after="0" w:line="248" w:lineRule="exact"/>
        <w:rPr>
          <w:sz w:val="20"/>
          <w:szCs w:val="20"/>
          <w:color w:val="auto"/>
        </w:rPr>
      </w:pPr>
    </w:p>
    <w:tbl>
      <w:tblPr>
        <w:tblLayout w:type="fixed"/>
        <w:tblInd w:w="1320" w:type="dxa"/>
        <w:tblCellMar>
          <w:top w:w="0" w:type="dxa"/>
          <w:left w:w="0" w:type="dxa"/>
          <w:bottom w:w="0" w:type="dxa"/>
          <w:right w:w="0" w:type="dxa"/>
        </w:tblCellMar>
      </w:tblPr>
      <w:tr>
        <w:trPr>
          <w:trHeight w:val="171"/>
        </w:trPr>
        <w:tc>
          <w:tcPr>
            <w:tcW w:w="60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2000" w:type="dxa"/>
            <w:vAlign w:val="bottom"/>
            <w:tcBorders>
              <w:bottom w:val="single" w:sz="8" w:color="auto"/>
            </w:tcBorders>
            <w:gridSpan w:val="5"/>
          </w:tcPr>
          <w:p>
            <w:pPr>
              <w:ind w:left="760"/>
              <w:spacing w:after="0"/>
              <w:rPr>
                <w:sz w:val="20"/>
                <w:szCs w:val="20"/>
                <w:color w:val="auto"/>
              </w:rPr>
            </w:pPr>
            <w:r>
              <w:rPr>
                <w:rFonts w:ascii="Arial" w:cs="Arial" w:eastAsia="Arial" w:hAnsi="Arial"/>
                <w:sz w:val="14"/>
                <w:szCs w:val="14"/>
                <w:b w:val="1"/>
                <w:bCs w:val="1"/>
                <w:color w:val="auto"/>
                <w:w w:val="90"/>
              </w:rPr>
              <w:t>Final Voting Results</w:t>
            </w:r>
          </w:p>
        </w:tc>
        <w:tc>
          <w:tcPr>
            <w:tcW w:w="7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600" w:type="dxa"/>
            <w:vAlign w:val="bottom"/>
            <w:vMerge w:val="restart"/>
          </w:tcPr>
          <w:p>
            <w:pPr>
              <w:spacing w:after="0"/>
              <w:rPr>
                <w:sz w:val="20"/>
                <w:szCs w:val="20"/>
                <w:color w:val="auto"/>
              </w:rPr>
            </w:pPr>
            <w:r>
              <w:rPr>
                <w:rFonts w:ascii="Arial" w:cs="Arial" w:eastAsia="Arial" w:hAnsi="Arial"/>
                <w:sz w:val="14"/>
                <w:szCs w:val="14"/>
                <w:b w:val="1"/>
                <w:bCs w:val="1"/>
                <w:color w:val="auto"/>
                <w:w w:val="86"/>
              </w:rPr>
              <w:t>Nominees</w:t>
            </w:r>
          </w:p>
        </w:tc>
        <w:tc>
          <w:tcPr>
            <w:tcW w:w="4980" w:type="dxa"/>
            <w:vAlign w:val="bottom"/>
            <w:vMerge w:val="restart"/>
          </w:tcPr>
          <w:p>
            <w:pPr>
              <w:spacing w:after="0"/>
              <w:rPr>
                <w:sz w:val="10"/>
                <w:szCs w:val="10"/>
                <w:color w:val="auto"/>
              </w:rPr>
            </w:pPr>
          </w:p>
        </w:tc>
        <w:tc>
          <w:tcPr>
            <w:tcW w:w="108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For</w:t>
            </w:r>
          </w:p>
        </w:tc>
        <w:tc>
          <w:tcPr>
            <w:tcW w:w="92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Withheld</w:t>
            </w:r>
          </w:p>
        </w:tc>
        <w:tc>
          <w:tcPr>
            <w:tcW w:w="740" w:type="dxa"/>
            <w:vAlign w:val="bottom"/>
          </w:tcPr>
          <w:p>
            <w:pPr>
              <w:ind w:left="120"/>
              <w:spacing w:after="0" w:line="119" w:lineRule="exact"/>
              <w:rPr>
                <w:sz w:val="20"/>
                <w:szCs w:val="20"/>
                <w:color w:val="auto"/>
              </w:rPr>
            </w:pPr>
            <w:r>
              <w:rPr>
                <w:rFonts w:ascii="Arial" w:cs="Arial" w:eastAsia="Arial" w:hAnsi="Arial"/>
                <w:sz w:val="13"/>
                <w:szCs w:val="13"/>
                <w:b w:val="1"/>
                <w:bCs w:val="1"/>
                <w:color w:val="auto"/>
              </w:rPr>
              <w:t>Broker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600" w:type="dxa"/>
            <w:vAlign w:val="bottom"/>
            <w:tcBorders>
              <w:bottom w:val="single" w:sz="8" w:color="auto"/>
            </w:tcBorders>
            <w:vMerge w:val="continue"/>
          </w:tcPr>
          <w:p>
            <w:pPr>
              <w:spacing w:after="0"/>
              <w:rPr>
                <w:sz w:val="15"/>
                <w:szCs w:val="15"/>
                <w:color w:val="auto"/>
              </w:rPr>
            </w:pPr>
          </w:p>
        </w:tc>
        <w:tc>
          <w:tcPr>
            <w:tcW w:w="4980" w:type="dxa"/>
            <w:vAlign w:val="bottom"/>
            <w:vMerge w:val="continue"/>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920" w:type="dxa"/>
            <w:vAlign w:val="bottom"/>
            <w:gridSpan w:val="3"/>
            <w:vMerge w:val="continue"/>
          </w:tcPr>
          <w:p>
            <w:pPr>
              <w:spacing w:after="0"/>
              <w:rPr>
                <w:sz w:val="15"/>
                <w:szCs w:val="15"/>
                <w:color w:val="auto"/>
              </w:rPr>
            </w:pPr>
          </w:p>
        </w:tc>
        <w:tc>
          <w:tcPr>
            <w:tcW w:w="780" w:type="dxa"/>
            <w:vAlign w:val="bottom"/>
            <w:gridSpan w:val="2"/>
          </w:tcPr>
          <w:p>
            <w:pPr>
              <w:ind w:left="20"/>
              <w:spacing w:after="0" w:line="158" w:lineRule="exact"/>
              <w:rPr>
                <w:sz w:val="20"/>
                <w:szCs w:val="20"/>
                <w:color w:val="auto"/>
              </w:rPr>
            </w:pPr>
            <w:r>
              <w:rPr>
                <w:rFonts w:ascii="Arial" w:cs="Arial" w:eastAsia="Arial" w:hAnsi="Arial"/>
                <w:sz w:val="14"/>
                <w:szCs w:val="14"/>
                <w:b w:val="1"/>
                <w:bCs w:val="1"/>
                <w:color w:val="auto"/>
              </w:rPr>
              <w:t>Non-Votes</w:t>
            </w:r>
          </w:p>
        </w:tc>
        <w:tc>
          <w:tcPr>
            <w:tcW w:w="0" w:type="dxa"/>
            <w:vAlign w:val="bottom"/>
          </w:tcPr>
          <w:p>
            <w:pPr>
              <w:spacing w:after="0"/>
              <w:rPr>
                <w:sz w:val="1"/>
                <w:szCs w:val="1"/>
                <w:color w:val="auto"/>
              </w:rPr>
            </w:pPr>
          </w:p>
        </w:tc>
      </w:tr>
      <w:tr>
        <w:trPr>
          <w:trHeight w:val="203"/>
        </w:trPr>
        <w:tc>
          <w:tcPr>
            <w:tcW w:w="5580" w:type="dxa"/>
            <w:vAlign w:val="bottom"/>
            <w:tcBorders>
              <w:top w:val="single" w:sz="8" w:color="CCEEFF"/>
            </w:tcBorders>
            <w:gridSpan w:val="2"/>
            <w:shd w:val="clear" w:color="auto" w:fill="CCEEFF"/>
          </w:tcPr>
          <w:p>
            <w:pPr>
              <w:spacing w:after="0" w:line="203" w:lineRule="exact"/>
              <w:rPr>
                <w:sz w:val="20"/>
                <w:szCs w:val="20"/>
                <w:color w:val="auto"/>
              </w:rPr>
            </w:pPr>
            <w:r>
              <w:rPr>
                <w:rFonts w:ascii="Arial" w:cs="Arial" w:eastAsia="Arial" w:hAnsi="Arial"/>
                <w:sz w:val="18"/>
                <w:szCs w:val="18"/>
                <w:color w:val="auto"/>
              </w:rPr>
              <w:t>Jeffrey S. Glenn, M.D., Ph.D.</w:t>
            </w:r>
          </w:p>
        </w:tc>
        <w:tc>
          <w:tcPr>
            <w:tcW w:w="8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16,088,638</w:t>
            </w:r>
          </w:p>
        </w:tc>
        <w:tc>
          <w:tcPr>
            <w:tcW w:w="20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221,727</w:t>
            </w:r>
          </w:p>
        </w:tc>
        <w:tc>
          <w:tcPr>
            <w:tcW w:w="22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ind w:left="20"/>
              <w:spacing w:after="0" w:line="203" w:lineRule="exact"/>
              <w:rPr>
                <w:sz w:val="20"/>
                <w:szCs w:val="20"/>
                <w:color w:val="auto"/>
              </w:rPr>
            </w:pPr>
            <w:r>
              <w:rPr>
                <w:rFonts w:ascii="Arial" w:cs="Arial" w:eastAsia="Arial" w:hAnsi="Arial"/>
                <w:sz w:val="18"/>
                <w:szCs w:val="18"/>
                <w:color w:val="auto"/>
                <w:w w:val="87"/>
              </w:rPr>
              <w:t>3,655,538</w:t>
            </w:r>
          </w:p>
        </w:tc>
        <w:tc>
          <w:tcPr>
            <w:tcW w:w="4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580" w:type="dxa"/>
            <w:vAlign w:val="bottom"/>
            <w:gridSpan w:val="2"/>
          </w:tcPr>
          <w:p>
            <w:pPr>
              <w:spacing w:after="0"/>
              <w:rPr>
                <w:sz w:val="20"/>
                <w:szCs w:val="20"/>
                <w:color w:val="auto"/>
              </w:rPr>
            </w:pPr>
            <w:r>
              <w:rPr>
                <w:rFonts w:ascii="Arial" w:cs="Arial" w:eastAsia="Arial" w:hAnsi="Arial"/>
                <w:sz w:val="18"/>
                <w:szCs w:val="18"/>
                <w:color w:val="auto"/>
              </w:rPr>
              <w:t>Evan Loh, M.D.</w:t>
            </w: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w w:val="95"/>
              </w:rPr>
              <w:t>16,026,090</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w w:val="98"/>
              </w:rPr>
              <w:t>284,275</w:t>
            </w:r>
          </w:p>
        </w:tc>
        <w:tc>
          <w:tcPr>
            <w:tcW w:w="40" w:type="dxa"/>
            <w:vAlign w:val="bottom"/>
          </w:tcPr>
          <w:p>
            <w:pPr>
              <w:spacing w:after="0"/>
              <w:rPr>
                <w:sz w:val="18"/>
                <w:szCs w:val="18"/>
                <w:color w:val="auto"/>
              </w:rPr>
            </w:pPr>
          </w:p>
        </w:tc>
        <w:tc>
          <w:tcPr>
            <w:tcW w:w="780" w:type="dxa"/>
            <w:vAlign w:val="bottom"/>
            <w:gridSpan w:val="2"/>
          </w:tcPr>
          <w:p>
            <w:pPr>
              <w:ind w:left="20"/>
              <w:spacing w:after="0"/>
              <w:rPr>
                <w:sz w:val="20"/>
                <w:szCs w:val="20"/>
                <w:color w:val="auto"/>
              </w:rPr>
            </w:pPr>
            <w:r>
              <w:rPr>
                <w:rFonts w:ascii="Arial" w:cs="Arial" w:eastAsia="Arial" w:hAnsi="Arial"/>
                <w:sz w:val="18"/>
                <w:szCs w:val="18"/>
                <w:color w:val="auto"/>
                <w:w w:val="92"/>
              </w:rPr>
              <w:t>3,655,538</w:t>
            </w:r>
          </w:p>
        </w:tc>
        <w:tc>
          <w:tcPr>
            <w:tcW w:w="0" w:type="dxa"/>
            <w:vAlign w:val="bottom"/>
          </w:tcPr>
          <w:p>
            <w:pPr>
              <w:spacing w:after="0"/>
              <w:rPr>
                <w:sz w:val="1"/>
                <w:szCs w:val="1"/>
                <w:color w:val="auto"/>
              </w:rPr>
            </w:pPr>
          </w:p>
        </w:tc>
      </w:tr>
      <w:tr>
        <w:trPr>
          <w:trHeight w:val="216"/>
        </w:trPr>
        <w:tc>
          <w:tcPr>
            <w:tcW w:w="5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Amit K. Sachdev, J.D.</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5"/>
              </w:rPr>
              <w:t>16,090,558</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8"/>
              </w:rPr>
              <w:t>219,807</w:t>
            </w:r>
          </w:p>
        </w:tc>
        <w:tc>
          <w:tcPr>
            <w:tcW w:w="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2"/>
              </w:rPr>
              <w:t>3,655,538</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The Company’s stockholders elected each of the three nominees for director to serve until the 2023 annual meeting of stockholders and until his respective successor is elected.</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2—</w:t>
      </w:r>
      <w:r>
        <w:rPr>
          <w:rFonts w:ascii="Arial" w:cs="Arial" w:eastAsia="Arial" w:hAnsi="Arial"/>
          <w:sz w:val="18"/>
          <w:szCs w:val="18"/>
          <w:b w:val="1"/>
          <w:bCs w:val="1"/>
          <w:i w:val="1"/>
          <w:iCs w:val="1"/>
          <w:color w:val="auto"/>
        </w:rPr>
        <w:t>Advisory Vote on Executive Compensation</w:t>
      </w:r>
    </w:p>
    <w:p>
      <w:pPr>
        <w:spacing w:after="0" w:line="248" w:lineRule="exact"/>
        <w:rPr>
          <w:sz w:val="20"/>
          <w:szCs w:val="20"/>
          <w:color w:val="auto"/>
        </w:rPr>
      </w:pPr>
    </w:p>
    <w:tbl>
      <w:tblPr>
        <w:tblLayout w:type="fixed"/>
        <w:tblInd w:w="16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60" w:type="dxa"/>
            <w:vAlign w:val="bottom"/>
            <w:gridSpan w:val="4"/>
          </w:tcPr>
          <w:p>
            <w:pPr>
              <w:spacing w:after="0"/>
              <w:rPr>
                <w:sz w:val="20"/>
                <w:szCs w:val="20"/>
                <w:color w:val="auto"/>
              </w:rPr>
            </w:pPr>
            <w:r>
              <w:rPr>
                <w:rFonts w:ascii="Arial" w:cs="Arial" w:eastAsia="Arial" w:hAnsi="Arial"/>
                <w:sz w:val="14"/>
                <w:szCs w:val="14"/>
                <w:b w:val="1"/>
                <w:bCs w:val="1"/>
                <w:color w:val="auto"/>
              </w:rPr>
              <w:t>Final Voting Results</w:t>
            </w:r>
          </w:p>
        </w:tc>
        <w:tc>
          <w:tcPr>
            <w:tcW w:w="8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Broker</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80" w:type="dxa"/>
            <w:vAlign w:val="bottom"/>
            <w:gridSpan w:val="2"/>
            <w:vMerge w:val="restart"/>
          </w:tcPr>
          <w:p>
            <w:pPr>
              <w:jc w:val="center"/>
              <w:ind w:right="1860"/>
              <w:spacing w:after="0"/>
              <w:rPr>
                <w:sz w:val="20"/>
                <w:szCs w:val="20"/>
                <w:color w:val="auto"/>
              </w:rPr>
            </w:pPr>
            <w:r>
              <w:rPr>
                <w:rFonts w:ascii="Arial" w:cs="Arial" w:eastAsia="Arial" w:hAnsi="Arial"/>
                <w:sz w:val="14"/>
                <w:szCs w:val="14"/>
                <w:b w:val="1"/>
                <w:bCs w:val="1"/>
                <w:color w:val="auto"/>
                <w:w w:val="97"/>
              </w:rPr>
              <w:t>For</w:t>
            </w:r>
          </w:p>
        </w:tc>
        <w:tc>
          <w:tcPr>
            <w:tcW w:w="8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Against</w:t>
            </w:r>
          </w:p>
        </w:tc>
        <w:tc>
          <w:tcPr>
            <w:tcW w:w="124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22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Abstain</w:t>
            </w:r>
          </w:p>
        </w:tc>
        <w:tc>
          <w:tcPr>
            <w:tcW w:w="84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80" w:type="dxa"/>
            <w:vAlign w:val="bottom"/>
            <w:gridSpan w:val="2"/>
            <w:vMerge w:val="continue"/>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1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40" w:type="dxa"/>
            <w:vAlign w:val="bottom"/>
            <w:gridSpan w:val="2"/>
            <w:vMerge w:val="continue"/>
          </w:tcPr>
          <w:p>
            <w:pPr>
              <w:spacing w:after="0"/>
              <w:rPr>
                <w:sz w:val="13"/>
                <w:szCs w:val="13"/>
                <w:color w:val="auto"/>
              </w:rPr>
            </w:pPr>
          </w:p>
        </w:tc>
        <w:tc>
          <w:tcPr>
            <w:tcW w:w="840" w:type="dxa"/>
            <w:vAlign w:val="bottom"/>
            <w:gridSpan w:val="2"/>
          </w:tcPr>
          <w:p>
            <w:pPr>
              <w:ind w:left="80"/>
              <w:spacing w:after="0" w:line="158" w:lineRule="exact"/>
              <w:rPr>
                <w:sz w:val="20"/>
                <w:szCs w:val="20"/>
                <w:color w:val="auto"/>
              </w:rPr>
            </w:pPr>
            <w:r>
              <w:rPr>
                <w:rFonts w:ascii="Arial" w:cs="Arial" w:eastAsia="Arial" w:hAnsi="Arial"/>
                <w:sz w:val="14"/>
                <w:szCs w:val="14"/>
                <w:b w:val="1"/>
                <w:bCs w:val="1"/>
                <w:color w:val="auto"/>
              </w:rPr>
              <w:t>Non-Votes</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shd w:val="clear" w:color="auto" w:fill="000000"/>
          </w:tcPr>
          <w:p>
            <w:pPr>
              <w:spacing w:after="0" w:line="20" w:lineRule="exact"/>
              <w:rPr>
                <w:sz w:val="1"/>
                <w:szCs w:val="1"/>
                <w:color w:val="auto"/>
              </w:rPr>
            </w:pPr>
          </w:p>
        </w:tc>
        <w:tc>
          <w:tcPr>
            <w:tcW w:w="1860" w:type="dxa"/>
            <w:vAlign w:val="bottom"/>
            <w:tcBorders>
              <w:bottom w:val="single" w:sz="8" w:color="CCEEFF"/>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2360" w:type="dxa"/>
            <w:vAlign w:val="bottom"/>
            <w:gridSpan w:val="3"/>
            <w:shd w:val="clear" w:color="auto" w:fill="CCEEFF"/>
          </w:tcPr>
          <w:p>
            <w:pPr>
              <w:jc w:val="right"/>
              <w:ind w:right="1560"/>
              <w:spacing w:after="0" w:line="203" w:lineRule="exact"/>
              <w:rPr>
                <w:sz w:val="20"/>
                <w:szCs w:val="20"/>
                <w:color w:val="auto"/>
              </w:rPr>
            </w:pPr>
            <w:r>
              <w:rPr>
                <w:rFonts w:ascii="Arial" w:cs="Arial" w:eastAsia="Arial" w:hAnsi="Arial"/>
                <w:sz w:val="18"/>
                <w:szCs w:val="18"/>
                <w:color w:val="auto"/>
                <w:w w:val="86"/>
              </w:rPr>
              <w:t>15,873,661</w:t>
            </w:r>
          </w:p>
        </w:tc>
        <w:tc>
          <w:tcPr>
            <w:tcW w:w="6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285,634</w:t>
            </w:r>
          </w:p>
        </w:tc>
        <w:tc>
          <w:tcPr>
            <w:tcW w:w="200" w:type="dxa"/>
            <w:vAlign w:val="bottom"/>
            <w:shd w:val="clear" w:color="auto" w:fill="CCEEFF"/>
          </w:tcPr>
          <w:p>
            <w:pPr>
              <w:spacing w:after="0"/>
              <w:rPr>
                <w:sz w:val="17"/>
                <w:szCs w:val="17"/>
                <w:color w:val="auto"/>
              </w:rPr>
            </w:pPr>
          </w:p>
        </w:tc>
        <w:tc>
          <w:tcPr>
            <w:tcW w:w="1420" w:type="dxa"/>
            <w:vAlign w:val="bottom"/>
            <w:gridSpan w:val="2"/>
            <w:shd w:val="clear" w:color="auto" w:fill="CCEEFF"/>
          </w:tcPr>
          <w:p>
            <w:pPr>
              <w:spacing w:after="0"/>
              <w:rPr>
                <w:sz w:val="17"/>
                <w:szCs w:val="17"/>
                <w:color w:val="auto"/>
              </w:rPr>
            </w:pPr>
          </w:p>
        </w:tc>
        <w:tc>
          <w:tcPr>
            <w:tcW w:w="6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151,070</w:t>
            </w:r>
          </w:p>
        </w:tc>
        <w:tc>
          <w:tcPr>
            <w:tcW w:w="1600" w:type="dxa"/>
            <w:vAlign w:val="bottom"/>
            <w:shd w:val="clear" w:color="auto" w:fill="CCEEFF"/>
          </w:tcPr>
          <w:p>
            <w:pPr>
              <w:spacing w:after="0"/>
              <w:rPr>
                <w:sz w:val="17"/>
                <w:szCs w:val="17"/>
                <w:color w:val="auto"/>
              </w:rPr>
            </w:pPr>
          </w:p>
        </w:tc>
        <w:tc>
          <w:tcPr>
            <w:tcW w:w="800" w:type="dxa"/>
            <w:vAlign w:val="bottom"/>
            <w:shd w:val="clear" w:color="auto" w:fill="CCEEFF"/>
          </w:tcPr>
          <w:p>
            <w:pPr>
              <w:ind w:left="60"/>
              <w:spacing w:after="0" w:line="203" w:lineRule="exact"/>
              <w:rPr>
                <w:sz w:val="20"/>
                <w:szCs w:val="20"/>
                <w:color w:val="auto"/>
              </w:rPr>
            </w:pPr>
            <w:r>
              <w:rPr>
                <w:rFonts w:ascii="Arial" w:cs="Arial" w:eastAsia="Arial" w:hAnsi="Arial"/>
                <w:sz w:val="18"/>
                <w:szCs w:val="18"/>
                <w:color w:val="auto"/>
                <w:w w:val="89"/>
              </w:rPr>
              <w:t>3,655,538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Company’s stockholders approved, on an advisory basis, the compensation awarded to the Company’s named executive officers, as disclosed in the Proxy Statement.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3—</w:t>
      </w:r>
      <w:r>
        <w:rPr>
          <w:rFonts w:ascii="Arial" w:cs="Arial" w:eastAsia="Arial" w:hAnsi="Arial"/>
          <w:sz w:val="18"/>
          <w:szCs w:val="18"/>
          <w:b w:val="1"/>
          <w:bCs w:val="1"/>
          <w:i w:val="1"/>
          <w:iCs w:val="1"/>
          <w:color w:val="auto"/>
        </w:rPr>
        <w:t>Advisory Vote on the Frequency of Stockholder Votes on Executive Compensation</w:t>
      </w:r>
    </w:p>
    <w:p>
      <w:pPr>
        <w:spacing w:after="0" w:line="248" w:lineRule="exact"/>
        <w:rPr>
          <w:sz w:val="20"/>
          <w:szCs w:val="20"/>
          <w:color w:val="auto"/>
        </w:rPr>
      </w:pPr>
    </w:p>
    <w:tbl>
      <w:tblPr>
        <w:tblLayout w:type="fixed"/>
        <w:tblInd w:w="2200" w:type="dxa"/>
        <w:tblCellMar>
          <w:top w:w="0" w:type="dxa"/>
          <w:left w:w="0" w:type="dxa"/>
          <w:bottom w:w="0" w:type="dxa"/>
          <w:right w:w="0" w:type="dxa"/>
        </w:tblCellMar>
      </w:tblPr>
      <w:tr>
        <w:trPr>
          <w:trHeight w:val="171"/>
        </w:trPr>
        <w:tc>
          <w:tcPr>
            <w:tcW w:w="2660" w:type="dxa"/>
            <w:vAlign w:val="bottom"/>
            <w:gridSpan w:val="3"/>
            <w:vMerge w:val="restart"/>
          </w:tcPr>
          <w:p>
            <w:pPr>
              <w:jc w:val="center"/>
              <w:ind w:right="1840"/>
              <w:spacing w:after="0"/>
              <w:rPr>
                <w:sz w:val="20"/>
                <w:szCs w:val="20"/>
                <w:color w:val="auto"/>
              </w:rPr>
            </w:pPr>
            <w:r>
              <w:rPr>
                <w:rFonts w:ascii="Arial" w:cs="Arial" w:eastAsia="Arial" w:hAnsi="Arial"/>
                <w:sz w:val="14"/>
                <w:szCs w:val="14"/>
                <w:b w:val="1"/>
                <w:bCs w:val="1"/>
                <w:color w:val="auto"/>
                <w:w w:val="90"/>
              </w:rPr>
              <w:t>1 Year</w:t>
            </w:r>
          </w:p>
        </w:tc>
        <w:tc>
          <w:tcPr>
            <w:tcW w:w="3240" w:type="dxa"/>
            <w:vAlign w:val="bottom"/>
            <w:gridSpan w:val="4"/>
          </w:tcPr>
          <w:p>
            <w:pPr>
              <w:spacing w:after="0"/>
              <w:rPr>
                <w:sz w:val="20"/>
                <w:szCs w:val="20"/>
                <w:color w:val="auto"/>
              </w:rPr>
            </w:pPr>
            <w:r>
              <w:rPr>
                <w:rFonts w:ascii="Arial" w:cs="Arial" w:eastAsia="Arial" w:hAnsi="Arial"/>
                <w:sz w:val="14"/>
                <w:szCs w:val="14"/>
                <w:b w:val="1"/>
                <w:bCs w:val="1"/>
                <w:color w:val="auto"/>
              </w:rPr>
              <w:t>Final Voting Results</w:t>
            </w:r>
          </w:p>
        </w:tc>
        <w:tc>
          <w:tcPr>
            <w:tcW w:w="7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3 Years</w:t>
            </w:r>
          </w:p>
        </w:tc>
        <w:tc>
          <w:tcPr>
            <w:tcW w:w="0" w:type="dxa"/>
            <w:vAlign w:val="bottom"/>
          </w:tcPr>
          <w:p>
            <w:pPr>
              <w:spacing w:after="0"/>
              <w:rPr>
                <w:sz w:val="1"/>
                <w:szCs w:val="1"/>
                <w:color w:val="auto"/>
              </w:rPr>
            </w:pPr>
          </w:p>
        </w:tc>
      </w:tr>
      <w:tr>
        <w:trPr>
          <w:trHeight w:val="142"/>
        </w:trPr>
        <w:tc>
          <w:tcPr>
            <w:tcW w:w="2660" w:type="dxa"/>
            <w:vAlign w:val="bottom"/>
            <w:gridSpan w:val="3"/>
            <w:vMerge w:val="continue"/>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2 Years</w:t>
            </w:r>
          </w:p>
        </w:tc>
        <w:tc>
          <w:tcPr>
            <w:tcW w:w="200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shd w:val="clear" w:color="auto" w:fill="000000"/>
          </w:tcPr>
          <w:p>
            <w:pPr>
              <w:spacing w:after="0" w:line="20" w:lineRule="exact"/>
              <w:rPr>
                <w:sz w:val="1"/>
                <w:szCs w:val="1"/>
                <w:color w:val="auto"/>
              </w:rPr>
            </w:pPr>
          </w:p>
        </w:tc>
        <w:tc>
          <w:tcPr>
            <w:tcW w:w="20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00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660" w:type="dxa"/>
            <w:vAlign w:val="bottom"/>
            <w:gridSpan w:val="3"/>
            <w:shd w:val="clear" w:color="auto" w:fill="CCEEFF"/>
          </w:tcPr>
          <w:p>
            <w:pPr>
              <w:jc w:val="right"/>
              <w:ind w:right="1840"/>
              <w:spacing w:after="0" w:line="203" w:lineRule="exact"/>
              <w:rPr>
                <w:sz w:val="20"/>
                <w:szCs w:val="20"/>
                <w:color w:val="auto"/>
              </w:rPr>
            </w:pPr>
            <w:r>
              <w:rPr>
                <w:rFonts w:ascii="Arial" w:cs="Arial" w:eastAsia="Arial" w:hAnsi="Arial"/>
                <w:sz w:val="18"/>
                <w:szCs w:val="18"/>
                <w:color w:val="auto"/>
                <w:w w:val="88"/>
              </w:rPr>
              <w:t>15,359,822</w:t>
            </w:r>
          </w:p>
        </w:tc>
        <w:tc>
          <w:tcPr>
            <w:tcW w:w="400" w:type="dxa"/>
            <w:vAlign w:val="bottom"/>
            <w:shd w:val="clear" w:color="auto" w:fill="CCEEFF"/>
          </w:tcPr>
          <w:p>
            <w:pPr>
              <w:spacing w:after="0"/>
              <w:rPr>
                <w:sz w:val="17"/>
                <w:szCs w:val="17"/>
                <w:color w:val="auto"/>
              </w:rPr>
            </w:pPr>
          </w:p>
        </w:tc>
        <w:tc>
          <w:tcPr>
            <w:tcW w:w="560" w:type="dxa"/>
            <w:vAlign w:val="bottom"/>
            <w:shd w:val="clear" w:color="auto" w:fill="CCEEFF"/>
          </w:tcPr>
          <w:p>
            <w:pPr>
              <w:ind w:left="60"/>
              <w:spacing w:after="0" w:line="203" w:lineRule="exact"/>
              <w:rPr>
                <w:sz w:val="20"/>
                <w:szCs w:val="20"/>
                <w:color w:val="auto"/>
              </w:rPr>
            </w:pPr>
            <w:r>
              <w:rPr>
                <w:rFonts w:ascii="Arial" w:cs="Arial" w:eastAsia="Arial" w:hAnsi="Arial"/>
                <w:sz w:val="18"/>
                <w:szCs w:val="18"/>
                <w:color w:val="auto"/>
                <w:w w:val="87"/>
              </w:rPr>
              <w:t>14,452</w:t>
            </w:r>
          </w:p>
        </w:tc>
        <w:tc>
          <w:tcPr>
            <w:tcW w:w="280" w:type="dxa"/>
            <w:vAlign w:val="bottom"/>
            <w:shd w:val="clear" w:color="auto" w:fill="CCEEFF"/>
          </w:tcPr>
          <w:p>
            <w:pPr>
              <w:spacing w:after="0"/>
              <w:rPr>
                <w:sz w:val="17"/>
                <w:szCs w:val="17"/>
                <w:color w:val="auto"/>
              </w:rPr>
            </w:pPr>
          </w:p>
        </w:tc>
        <w:tc>
          <w:tcPr>
            <w:tcW w:w="20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783,090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stockholders indicated, on an advisory basis, the preferred frequency of every year for future stockholder advisory votes regarding compensation awarded to named executive officers, as disclosed in the Proxy Statement. In light of the vote of the stockholders on this proposal and consistent with the Company’s Board of Director’s recommendation, the Company will include a non-binding stockholder advisory vote to approve the compensation of its named executive officers in its proxy materials every year. The Company will hold such annual advisory votes until the next required vote on the frequency of stockholder votes on named executive officer compensation. The Company is required to hold votes on the frequency of holding future non-binding advisory votes on executive compensation every six calendar years.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4—</w:t>
      </w:r>
      <w:r>
        <w:rPr>
          <w:rFonts w:ascii="Arial" w:cs="Arial" w:eastAsia="Arial" w:hAnsi="Arial"/>
          <w:sz w:val="18"/>
          <w:szCs w:val="18"/>
          <w:b w:val="1"/>
          <w:bCs w:val="1"/>
          <w:i w:val="1"/>
          <w:iCs w:val="1"/>
          <w:color w:val="auto"/>
        </w:rPr>
        <w:t>Ratification of Selection of Independent Registered Public Accounting Firm</w:t>
      </w:r>
    </w:p>
    <w:p>
      <w:pPr>
        <w:spacing w:after="0" w:line="248" w:lineRule="exact"/>
        <w:rPr>
          <w:sz w:val="20"/>
          <w:szCs w:val="20"/>
          <w:color w:val="auto"/>
        </w:rPr>
      </w:pPr>
    </w:p>
    <w:tbl>
      <w:tblPr>
        <w:tblLayout w:type="fixed"/>
        <w:tblInd w:w="2200" w:type="dxa"/>
        <w:tblCellMar>
          <w:top w:w="0" w:type="dxa"/>
          <w:left w:w="0" w:type="dxa"/>
          <w:bottom w:w="0" w:type="dxa"/>
          <w:right w:w="0" w:type="dxa"/>
        </w:tblCellMar>
      </w:tblPr>
      <w:tr>
        <w:trPr>
          <w:trHeight w:val="171"/>
        </w:trPr>
        <w:tc>
          <w:tcPr>
            <w:tcW w:w="300" w:type="dxa"/>
            <w:vAlign w:val="bottom"/>
          </w:tcPr>
          <w:p>
            <w:pPr>
              <w:spacing w:after="0"/>
              <w:rPr>
                <w:sz w:val="14"/>
                <w:szCs w:val="14"/>
                <w:color w:val="auto"/>
              </w:rPr>
            </w:pPr>
          </w:p>
        </w:tc>
        <w:tc>
          <w:tcPr>
            <w:tcW w:w="2360" w:type="dxa"/>
            <w:vAlign w:val="bottom"/>
            <w:gridSpan w:val="2"/>
            <w:vMerge w:val="restart"/>
          </w:tcPr>
          <w:p>
            <w:pPr>
              <w:jc w:val="center"/>
              <w:ind w:right="2140"/>
              <w:spacing w:after="0"/>
              <w:rPr>
                <w:sz w:val="20"/>
                <w:szCs w:val="20"/>
                <w:color w:val="auto"/>
              </w:rPr>
            </w:pPr>
            <w:r>
              <w:rPr>
                <w:rFonts w:ascii="Arial" w:cs="Arial" w:eastAsia="Arial" w:hAnsi="Arial"/>
                <w:sz w:val="14"/>
                <w:szCs w:val="14"/>
                <w:b w:val="1"/>
                <w:bCs w:val="1"/>
                <w:color w:val="auto"/>
                <w:w w:val="97"/>
              </w:rPr>
              <w:t>For</w:t>
            </w:r>
          </w:p>
        </w:tc>
        <w:tc>
          <w:tcPr>
            <w:tcW w:w="3240" w:type="dxa"/>
            <w:vAlign w:val="bottom"/>
            <w:gridSpan w:val="4"/>
          </w:tcPr>
          <w:p>
            <w:pPr>
              <w:spacing w:after="0"/>
              <w:rPr>
                <w:sz w:val="20"/>
                <w:szCs w:val="20"/>
                <w:color w:val="auto"/>
              </w:rPr>
            </w:pPr>
            <w:r>
              <w:rPr>
                <w:rFonts w:ascii="Arial" w:cs="Arial" w:eastAsia="Arial" w:hAnsi="Arial"/>
                <w:sz w:val="14"/>
                <w:szCs w:val="14"/>
                <w:b w:val="1"/>
                <w:bCs w:val="1"/>
                <w:color w:val="auto"/>
              </w:rPr>
              <w:t>Final Voting Results</w:t>
            </w:r>
          </w:p>
        </w:tc>
        <w:tc>
          <w:tcPr>
            <w:tcW w:w="7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Abstain</w:t>
            </w:r>
          </w:p>
        </w:tc>
        <w:tc>
          <w:tcPr>
            <w:tcW w:w="0" w:type="dxa"/>
            <w:vAlign w:val="bottom"/>
          </w:tcPr>
          <w:p>
            <w:pPr>
              <w:spacing w:after="0"/>
              <w:rPr>
                <w:sz w:val="1"/>
                <w:szCs w:val="1"/>
                <w:color w:val="auto"/>
              </w:rPr>
            </w:pPr>
          </w:p>
        </w:tc>
      </w:tr>
      <w:tr>
        <w:trPr>
          <w:trHeight w:val="142"/>
        </w:trPr>
        <w:tc>
          <w:tcPr>
            <w:tcW w:w="300" w:type="dxa"/>
            <w:vAlign w:val="bottom"/>
          </w:tcPr>
          <w:p>
            <w:pPr>
              <w:spacing w:after="0"/>
              <w:rPr>
                <w:sz w:val="12"/>
                <w:szCs w:val="12"/>
                <w:color w:val="auto"/>
              </w:rPr>
            </w:pPr>
          </w:p>
        </w:tc>
        <w:tc>
          <w:tcPr>
            <w:tcW w:w="2360" w:type="dxa"/>
            <w:vAlign w:val="bottom"/>
            <w:gridSpan w:val="2"/>
            <w:vMerge w:val="continue"/>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Against</w:t>
            </w:r>
          </w:p>
        </w:tc>
        <w:tc>
          <w:tcPr>
            <w:tcW w:w="200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shd w:val="clear" w:color="auto" w:fill="000000"/>
          </w:tcPr>
          <w:p>
            <w:pPr>
              <w:spacing w:after="0" w:line="20" w:lineRule="exact"/>
              <w:rPr>
                <w:sz w:val="1"/>
                <w:szCs w:val="1"/>
                <w:color w:val="auto"/>
              </w:rPr>
            </w:pPr>
          </w:p>
        </w:tc>
        <w:tc>
          <w:tcPr>
            <w:tcW w:w="21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00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660" w:type="dxa"/>
            <w:vAlign w:val="bottom"/>
            <w:gridSpan w:val="3"/>
            <w:shd w:val="clear" w:color="auto" w:fill="CCEEFF"/>
          </w:tcPr>
          <w:p>
            <w:pPr>
              <w:jc w:val="right"/>
              <w:ind w:right="1840"/>
              <w:spacing w:after="0" w:line="203" w:lineRule="exact"/>
              <w:rPr>
                <w:sz w:val="20"/>
                <w:szCs w:val="20"/>
                <w:color w:val="auto"/>
              </w:rPr>
            </w:pPr>
            <w:r>
              <w:rPr>
                <w:rFonts w:ascii="Arial" w:cs="Arial" w:eastAsia="Arial" w:hAnsi="Arial"/>
                <w:sz w:val="18"/>
                <w:szCs w:val="18"/>
                <w:color w:val="auto"/>
                <w:w w:val="88"/>
              </w:rPr>
              <w:t>19,784,554</w:t>
            </w:r>
          </w:p>
        </w:tc>
        <w:tc>
          <w:tcPr>
            <w:tcW w:w="4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39,110</w:t>
            </w:r>
          </w:p>
        </w:tc>
        <w:tc>
          <w:tcPr>
            <w:tcW w:w="280" w:type="dxa"/>
            <w:vAlign w:val="bottom"/>
            <w:shd w:val="clear" w:color="auto" w:fill="CCEEFF"/>
          </w:tcPr>
          <w:p>
            <w:pPr>
              <w:spacing w:after="0"/>
              <w:rPr>
                <w:sz w:val="17"/>
                <w:szCs w:val="17"/>
                <w:color w:val="auto"/>
              </w:rPr>
            </w:pPr>
          </w:p>
        </w:tc>
        <w:tc>
          <w:tcPr>
            <w:tcW w:w="20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142,239</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The Company’s stockholders ratified the selection by the Audit Committee of the Board of Directors of KPMG LLP as the Company’s independent registered public accounting firm for the fiscal year ending December 31, 2020.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 other matters were submitted for stockholder action.</w:t>
      </w:r>
    </w:p>
    <w:p>
      <w:pPr>
        <w:sectPr>
          <w:pgSz w:w="11900" w:h="16838" w:orient="portrait"/>
          <w:cols w:equalWidth="0" w:num="1">
            <w:col w:w="11000"/>
          </w:cols>
          <w:pgMar w:left="440" w:top="270"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2540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32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June 17, 2020</w:t>
      </w:r>
    </w:p>
    <w:p>
      <w:pPr>
        <w:spacing w:after="0" w:line="225" w:lineRule="exact"/>
        <w:rPr>
          <w:sz w:val="20"/>
          <w:szCs w:val="20"/>
          <w:color w:val="auto"/>
        </w:rPr>
      </w:pPr>
    </w:p>
    <w:p>
      <w:pPr>
        <w:ind w:left="5320"/>
        <w:spacing w:after="0"/>
        <w:tabs>
          <w:tab w:leader="none" w:pos="57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3649345</wp:posOffset>
            </wp:positionH>
            <wp:positionV relativeFrom="paragraph">
              <wp:posOffset>14605</wp:posOffset>
            </wp:positionV>
            <wp:extent cx="300037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000375" cy="8255"/>
                    </a:xfrm>
                    <a:prstGeom prst="rect">
                      <a:avLst/>
                    </a:prstGeom>
                    <a:noFill/>
                  </pic:spPr>
                </pic:pic>
              </a:graphicData>
            </a:graphic>
          </wp:anchor>
        </w:drawing>
      </w:r>
    </w:p>
    <w:p>
      <w:pPr>
        <w:spacing w:after="0" w:line="30"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Sriram Ryali</w:t>
      </w:r>
    </w:p>
    <w:p>
      <w:pPr>
        <w:spacing w:after="0" w:line="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0260"/>
      </w:cols>
      <w:pgMar w:left="440" w:top="270" w:right="1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2020-06-17T16:09:45Z</dcterms:created>
  <dcterms:modified xsi:type="dcterms:W3CDTF">2020-06-17T16:09:45Z</dcterms:modified>
</cp:coreProperties>
</file>