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9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286385</wp:posOffset>
            </wp:positionH>
            <wp:positionV relativeFrom="page">
              <wp:posOffset>166370</wp:posOffset>
            </wp:positionV>
            <wp:extent cx="699770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7700" cy="8890"/>
                    </a:xfrm>
                    <a:prstGeom prst="rect">
                      <a:avLst/>
                    </a:prstGeom>
                    <a:noFill/>
                  </pic:spPr>
                </pic:pic>
              </a:graphicData>
            </a:graphic>
          </wp:anchor>
        </w:drawing>
        <w:drawing>
          <wp:anchor simplePos="0" relativeHeight="251657728" behindDoc="1" locked="0" layoutInCell="0" allowOverlap="1">
            <wp:simplePos x="0" y="0"/>
            <wp:positionH relativeFrom="page">
              <wp:posOffset>286385</wp:posOffset>
            </wp:positionH>
            <wp:positionV relativeFrom="page">
              <wp:posOffset>208915</wp:posOffset>
            </wp:positionV>
            <wp:extent cx="699770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7700" cy="8890"/>
                    </a:xfrm>
                    <a:prstGeom prst="rect">
                      <a:avLst/>
                    </a:prstGeom>
                    <a:noFill/>
                  </pic:spPr>
                </pic:pic>
              </a:graphicData>
            </a:graphic>
          </wp:anchor>
        </w:drawing>
        <w:t>UNITED STATES</w:t>
      </w:r>
    </w:p>
    <w:p>
      <w:pPr>
        <w:spacing w:after="0" w:line="31" w:lineRule="exact"/>
        <w:rPr>
          <w:sz w:val="24"/>
          <w:szCs w:val="24"/>
          <w:color w:val="auto"/>
        </w:rPr>
      </w:pPr>
    </w:p>
    <w:p>
      <w:pPr>
        <w:jc w:val="center"/>
        <w:ind w:right="-29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29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227330</wp:posOffset>
            </wp:positionV>
            <wp:extent cx="146621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327" w:lineRule="exact"/>
        <w:rPr>
          <w:sz w:val="24"/>
          <w:szCs w:val="24"/>
          <w:color w:val="auto"/>
        </w:rPr>
      </w:pPr>
    </w:p>
    <w:p>
      <w:pPr>
        <w:jc w:val="center"/>
        <w:ind w:right="-29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247015</wp:posOffset>
            </wp:positionV>
            <wp:extent cx="146621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376" w:lineRule="exact"/>
        <w:rPr>
          <w:sz w:val="24"/>
          <w:szCs w:val="24"/>
          <w:color w:val="auto"/>
        </w:rPr>
      </w:pPr>
    </w:p>
    <w:p>
      <w:pPr>
        <w:jc w:val="center"/>
        <w:ind w:right="-279"/>
        <w:spacing w:after="0"/>
        <w:rPr>
          <w:sz w:val="20"/>
          <w:szCs w:val="20"/>
          <w:color w:val="auto"/>
        </w:rPr>
      </w:pPr>
      <w:r>
        <w:rPr>
          <w:rFonts w:ascii="Arial" w:cs="Arial" w:eastAsia="Arial" w:hAnsi="Arial"/>
          <w:sz w:val="25"/>
          <w:szCs w:val="25"/>
          <w:b w:val="1"/>
          <w:bCs w:val="1"/>
          <w:color w:val="auto"/>
        </w:rPr>
        <w:t>CURRENT REPORT</w:t>
      </w:r>
    </w:p>
    <w:p>
      <w:pPr>
        <w:spacing w:after="0" w:line="221" w:lineRule="exact"/>
        <w:rPr>
          <w:sz w:val="24"/>
          <w:szCs w:val="24"/>
          <w:color w:val="auto"/>
        </w:rPr>
      </w:pPr>
    </w:p>
    <w:p>
      <w:pPr>
        <w:jc w:val="center"/>
        <w:ind w:right="-299"/>
        <w:spacing w:after="0"/>
        <w:rPr>
          <w:sz w:val="20"/>
          <w:szCs w:val="20"/>
          <w:color w:val="auto"/>
        </w:rPr>
      </w:pPr>
      <w:r>
        <w:rPr>
          <w:rFonts w:ascii="Arial" w:cs="Arial" w:eastAsia="Arial" w:hAnsi="Arial"/>
          <w:sz w:val="22"/>
          <w:szCs w:val="22"/>
          <w:b w:val="1"/>
          <w:bCs w:val="1"/>
          <w:color w:val="auto"/>
        </w:rPr>
        <w:t>Pursuant to Section 13 or 15(d)</w:t>
      </w:r>
    </w:p>
    <w:p>
      <w:pPr>
        <w:spacing w:after="0" w:line="14" w:lineRule="exact"/>
        <w:rPr>
          <w:sz w:val="24"/>
          <w:szCs w:val="24"/>
          <w:color w:val="auto"/>
        </w:rPr>
      </w:pPr>
    </w:p>
    <w:p>
      <w:pPr>
        <w:jc w:val="center"/>
        <w:ind w:right="-299"/>
        <w:spacing w:after="0"/>
        <w:rPr>
          <w:sz w:val="20"/>
          <w:szCs w:val="20"/>
          <w:color w:val="auto"/>
        </w:rPr>
      </w:pPr>
      <w:r>
        <w:rPr>
          <w:rFonts w:ascii="Arial" w:cs="Arial" w:eastAsia="Arial" w:hAnsi="Arial"/>
          <w:sz w:val="22"/>
          <w:szCs w:val="22"/>
          <w:b w:val="1"/>
          <w:bCs w:val="1"/>
          <w:color w:val="auto"/>
        </w:rPr>
        <w:t>of the Securities Exchange Act of 1934</w:t>
      </w:r>
    </w:p>
    <w:p>
      <w:pPr>
        <w:spacing w:after="0" w:line="182" w:lineRule="exact"/>
        <w:rPr>
          <w:sz w:val="24"/>
          <w:szCs w:val="24"/>
          <w:color w:val="auto"/>
        </w:rPr>
      </w:pPr>
    </w:p>
    <w:p>
      <w:pPr>
        <w:ind w:left="2560"/>
        <w:spacing w:after="0"/>
        <w:rPr>
          <w:sz w:val="20"/>
          <w:szCs w:val="20"/>
          <w:color w:val="auto"/>
        </w:rPr>
      </w:pPr>
      <w:r>
        <w:rPr>
          <w:rFonts w:ascii="Arial" w:cs="Arial" w:eastAsia="Arial" w:hAnsi="Arial"/>
          <w:sz w:val="22"/>
          <w:szCs w:val="22"/>
          <w:b w:val="1"/>
          <w:bCs w:val="1"/>
          <w:color w:val="auto"/>
        </w:rPr>
        <w:t>Date of Report (Date of earliest event reported): March 14, 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234315</wp:posOffset>
            </wp:positionV>
            <wp:extent cx="146621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335" w:lineRule="exact"/>
        <w:rPr>
          <w:sz w:val="24"/>
          <w:szCs w:val="24"/>
          <w:color w:val="auto"/>
        </w:rPr>
      </w:pPr>
    </w:p>
    <w:p>
      <w:pPr>
        <w:jc w:val="center"/>
        <w:ind w:right="-299"/>
        <w:spacing w:after="0"/>
        <w:rPr>
          <w:sz w:val="20"/>
          <w:szCs w:val="20"/>
          <w:color w:val="auto"/>
        </w:rPr>
      </w:pPr>
      <w:r>
        <w:rPr>
          <w:rFonts w:ascii="Arial" w:cs="Arial" w:eastAsia="Arial" w:hAnsi="Arial"/>
          <w:sz w:val="43"/>
          <w:szCs w:val="43"/>
          <w:b w:val="1"/>
          <w:bCs w:val="1"/>
          <w:color w:val="auto"/>
        </w:rPr>
        <w:t>EIGER BIOPHARMACEUTICALS, INC.</w:t>
      </w:r>
    </w:p>
    <w:p>
      <w:pPr>
        <w:spacing w:after="0" w:line="50" w:lineRule="exact"/>
        <w:rPr>
          <w:sz w:val="24"/>
          <w:szCs w:val="24"/>
          <w:color w:val="auto"/>
        </w:rPr>
      </w:pPr>
    </w:p>
    <w:p>
      <w:pPr>
        <w:jc w:val="center"/>
        <w:ind w:right="-29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236220</wp:posOffset>
            </wp:positionV>
            <wp:extent cx="146621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ectPr>
          <w:pgSz w:w="11900" w:h="16838" w:orient="portrait"/>
          <w:cols w:equalWidth="0" w:num="1">
            <w:col w:w="10740"/>
          </w:cols>
          <w:pgMar w:left="440" w:top="368" w:right="719"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37" w:lineRule="exact"/>
        <w:rPr>
          <w:sz w:val="24"/>
          <w:szCs w:val="24"/>
          <w:color w:val="auto"/>
        </w:rPr>
      </w:pPr>
    </w:p>
    <w:p>
      <w:pPr>
        <w:ind w:left="152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jc w:val="center"/>
        <w:ind w:right="2080"/>
        <w:spacing w:after="0"/>
        <w:rPr>
          <w:sz w:val="20"/>
          <w:szCs w:val="20"/>
          <w:color w:val="auto"/>
        </w:rPr>
      </w:pPr>
      <w:r>
        <w:rPr>
          <w:rFonts w:ascii="Arial" w:cs="Arial" w:eastAsia="Arial" w:hAnsi="Arial"/>
          <w:sz w:val="16"/>
          <w:szCs w:val="16"/>
          <w:b w:val="1"/>
          <w:bCs w:val="1"/>
          <w:color w:val="auto"/>
        </w:rPr>
        <w:t>001-36183</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33-0971591</w:t>
      </w:r>
    </w:p>
    <w:p>
      <w:pPr>
        <w:spacing w:after="0" w:line="31" w:lineRule="exact"/>
        <w:rPr>
          <w:sz w:val="24"/>
          <w:szCs w:val="24"/>
          <w:color w:val="auto"/>
        </w:rPr>
      </w:pPr>
    </w:p>
    <w:p>
      <w:pPr>
        <w:sectPr>
          <w:pgSz w:w="11900" w:h="16838" w:orient="portrait"/>
          <w:cols w:equalWidth="0" w:num="3">
            <w:col w:w="4520" w:space="720"/>
            <w:col w:w="2860" w:space="720"/>
            <w:col w:w="1920"/>
          </w:cols>
          <w:pgMar w:left="440" w:top="368" w:right="719" w:bottom="1440" w:gutter="0" w:footer="0" w:header="0"/>
          <w:type w:val="continuous"/>
        </w:sectPr>
      </w:pPr>
    </w:p>
    <w:p>
      <w:pPr>
        <w:spacing w:after="0" w:line="12" w:lineRule="exact"/>
        <w:rPr>
          <w:sz w:val="24"/>
          <w:szCs w:val="24"/>
          <w:color w:val="auto"/>
        </w:rPr>
      </w:pPr>
    </w:p>
    <w:p>
      <w:pPr>
        <w:jc w:val="center"/>
        <w:ind w:right="740"/>
        <w:spacing w:after="0"/>
        <w:rPr>
          <w:sz w:val="20"/>
          <w:szCs w:val="20"/>
          <w:color w:val="auto"/>
        </w:rPr>
      </w:pPr>
      <w:r>
        <w:rPr>
          <w:rFonts w:ascii="Arial" w:cs="Arial" w:eastAsia="Arial" w:hAnsi="Arial"/>
          <w:sz w:val="13"/>
          <w:szCs w:val="13"/>
          <w:b w:val="1"/>
          <w:bCs w:val="1"/>
          <w:color w:val="auto"/>
        </w:rPr>
        <w:t>(State or other jurisdiction</w:t>
      </w:r>
    </w:p>
    <w:p>
      <w:pPr>
        <w:jc w:val="center"/>
        <w:ind w:right="740"/>
        <w:spacing w:after="0"/>
        <w:rPr>
          <w:sz w:val="20"/>
          <w:szCs w:val="20"/>
          <w:color w:val="auto"/>
        </w:rPr>
      </w:pPr>
      <w:r>
        <w:rPr>
          <w:rFonts w:ascii="Arial" w:cs="Arial" w:eastAsia="Arial" w:hAnsi="Arial"/>
          <w:sz w:val="14"/>
          <w:szCs w:val="14"/>
          <w:b w:val="1"/>
          <w:bCs w:val="1"/>
          <w:color w:val="auto"/>
        </w:rPr>
        <w:t>of incorporation)</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2"/>
          <w:szCs w:val="12"/>
          <w:b w:val="1"/>
          <w:bCs w:val="1"/>
          <w:color w:val="auto"/>
        </w:rPr>
        <w:t>(Commission</w:t>
      </w:r>
    </w:p>
    <w:p>
      <w:pPr>
        <w:spacing w:after="0" w:line="4"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File Number)</w:t>
      </w:r>
    </w:p>
    <w:p>
      <w:pPr>
        <w:spacing w:after="0" w:line="20" w:lineRule="exact"/>
        <w:rPr>
          <w:sz w:val="24"/>
          <w:szCs w:val="24"/>
          <w:color w:val="auto"/>
        </w:rPr>
      </w:pPr>
      <w:r>
        <w:rPr>
          <w:sz w:val="24"/>
          <w:szCs w:val="24"/>
          <w:color w:val="auto"/>
        </w:rPr>
        <w:br w:type="column"/>
      </w:r>
    </w:p>
    <w:p>
      <w:pPr>
        <w:jc w:val="center"/>
        <w:ind w:right="920"/>
        <w:spacing w:after="0"/>
        <w:rPr>
          <w:sz w:val="20"/>
          <w:szCs w:val="20"/>
          <w:color w:val="auto"/>
        </w:rPr>
      </w:pPr>
      <w:r>
        <w:rPr>
          <w:rFonts w:ascii="Arial" w:cs="Arial" w:eastAsia="Arial" w:hAnsi="Arial"/>
          <w:sz w:val="14"/>
          <w:szCs w:val="14"/>
          <w:b w:val="1"/>
          <w:bCs w:val="1"/>
          <w:color w:val="auto"/>
        </w:rPr>
        <w:t>(IRS Employer</w:t>
      </w:r>
    </w:p>
    <w:p>
      <w:pPr>
        <w:jc w:val="center"/>
        <w:ind w:right="920"/>
        <w:spacing w:after="0"/>
        <w:rPr>
          <w:sz w:val="20"/>
          <w:szCs w:val="20"/>
          <w:color w:val="auto"/>
        </w:rPr>
      </w:pPr>
      <w:r>
        <w:rPr>
          <w:rFonts w:ascii="Arial" w:cs="Arial" w:eastAsia="Arial" w:hAnsi="Arial"/>
          <w:sz w:val="13"/>
          <w:szCs w:val="13"/>
          <w:b w:val="1"/>
          <w:bCs w:val="1"/>
          <w:color w:val="auto"/>
        </w:rPr>
        <w:t>Identification No.)</w:t>
      </w:r>
    </w:p>
    <w:p>
      <w:pPr>
        <w:spacing w:after="0" w:line="211" w:lineRule="exact"/>
        <w:rPr>
          <w:sz w:val="24"/>
          <w:szCs w:val="24"/>
          <w:color w:val="auto"/>
        </w:rPr>
      </w:pPr>
    </w:p>
    <w:p>
      <w:pPr>
        <w:sectPr>
          <w:pgSz w:w="11900" w:h="16838" w:orient="portrait"/>
          <w:cols w:equalWidth="0" w:num="3">
            <w:col w:w="4500" w:space="720"/>
            <w:col w:w="2760" w:space="720"/>
            <w:col w:w="2040"/>
          </w:cols>
          <w:pgMar w:left="440" w:top="368" w:right="719" w:bottom="1440" w:gutter="0" w:footer="0" w:header="0"/>
          <w:type w:val="continuous"/>
        </w:sectPr>
      </w:pPr>
    </w:p>
    <w:p>
      <w:pPr>
        <w:spacing w:after="0" w:line="6" w:lineRule="exact"/>
        <w:rPr>
          <w:sz w:val="24"/>
          <w:szCs w:val="24"/>
          <w:color w:val="auto"/>
        </w:rPr>
      </w:pPr>
    </w:p>
    <w:p>
      <w:pPr>
        <w:jc w:val="center"/>
        <w:ind w:right="-299"/>
        <w:spacing w:after="0"/>
        <w:rPr>
          <w:sz w:val="20"/>
          <w:szCs w:val="20"/>
          <w:color w:val="auto"/>
        </w:rPr>
      </w:pPr>
      <w:r>
        <w:rPr>
          <w:rFonts w:ascii="Arial" w:cs="Arial" w:eastAsia="Arial" w:hAnsi="Arial"/>
          <w:sz w:val="18"/>
          <w:szCs w:val="18"/>
          <w:b w:val="1"/>
          <w:bCs w:val="1"/>
          <w:color w:val="auto"/>
        </w:rPr>
        <w:t>Eiger Biopharmaceuticals, Inc.</w:t>
      </w:r>
    </w:p>
    <w:p>
      <w:pPr>
        <w:spacing w:after="0" w:line="27" w:lineRule="exact"/>
        <w:rPr>
          <w:sz w:val="24"/>
          <w:szCs w:val="24"/>
          <w:color w:val="auto"/>
        </w:rPr>
      </w:pPr>
    </w:p>
    <w:p>
      <w:pPr>
        <w:jc w:val="center"/>
        <w:ind w:right="-299"/>
        <w:spacing w:after="0"/>
        <w:rPr>
          <w:sz w:val="20"/>
          <w:szCs w:val="20"/>
          <w:color w:val="auto"/>
        </w:rPr>
      </w:pPr>
      <w:r>
        <w:rPr>
          <w:rFonts w:ascii="Arial" w:cs="Arial" w:eastAsia="Arial" w:hAnsi="Arial"/>
          <w:sz w:val="18"/>
          <w:szCs w:val="18"/>
          <w:b w:val="1"/>
          <w:bCs w:val="1"/>
          <w:color w:val="auto"/>
        </w:rPr>
        <w:t>2155 Park Blvd.</w:t>
      </w:r>
    </w:p>
    <w:p>
      <w:pPr>
        <w:spacing w:after="0" w:line="9" w:lineRule="exact"/>
        <w:rPr>
          <w:sz w:val="24"/>
          <w:szCs w:val="24"/>
          <w:color w:val="auto"/>
        </w:rPr>
      </w:pPr>
    </w:p>
    <w:p>
      <w:pPr>
        <w:jc w:val="center"/>
        <w:ind w:right="-299"/>
        <w:spacing w:after="0"/>
        <w:rPr>
          <w:sz w:val="20"/>
          <w:szCs w:val="20"/>
          <w:color w:val="auto"/>
        </w:rPr>
      </w:pPr>
      <w:r>
        <w:rPr>
          <w:rFonts w:ascii="Arial" w:cs="Arial" w:eastAsia="Arial" w:hAnsi="Arial"/>
          <w:sz w:val="18"/>
          <w:szCs w:val="18"/>
          <w:b w:val="1"/>
          <w:bCs w:val="1"/>
          <w:color w:val="auto"/>
        </w:rPr>
        <w:t>Palo Alto, California 94306</w:t>
      </w:r>
    </w:p>
    <w:p>
      <w:pPr>
        <w:spacing w:after="0" w:line="2" w:lineRule="exact"/>
        <w:rPr>
          <w:sz w:val="24"/>
          <w:szCs w:val="24"/>
          <w:color w:val="auto"/>
        </w:rPr>
      </w:pPr>
    </w:p>
    <w:p>
      <w:pPr>
        <w:jc w:val="center"/>
        <w:ind w:right="-299"/>
        <w:spacing w:after="0"/>
        <w:rPr>
          <w:sz w:val="20"/>
          <w:szCs w:val="20"/>
          <w:color w:val="auto"/>
        </w:rPr>
      </w:pPr>
      <w:r>
        <w:rPr>
          <w:rFonts w:ascii="Arial" w:cs="Arial" w:eastAsia="Arial" w:hAnsi="Arial"/>
          <w:sz w:val="13"/>
          <w:szCs w:val="13"/>
          <w:b w:val="1"/>
          <w:bCs w:val="1"/>
          <w:color w:val="auto"/>
        </w:rPr>
        <w:t>(Address of principal executive offices, including zip code)</w:t>
      </w:r>
    </w:p>
    <w:p>
      <w:pPr>
        <w:spacing w:after="0" w:line="204" w:lineRule="exact"/>
        <w:rPr>
          <w:sz w:val="24"/>
          <w:szCs w:val="24"/>
          <w:color w:val="auto"/>
        </w:rPr>
      </w:pPr>
    </w:p>
    <w:p>
      <w:pPr>
        <w:jc w:val="center"/>
        <w:ind w:right="-299"/>
        <w:spacing w:after="0"/>
        <w:rPr>
          <w:sz w:val="20"/>
          <w:szCs w:val="20"/>
          <w:color w:val="auto"/>
        </w:rPr>
      </w:pPr>
      <w:r>
        <w:rPr>
          <w:rFonts w:ascii="Arial" w:cs="Arial" w:eastAsia="Arial" w:hAnsi="Arial"/>
          <w:sz w:val="18"/>
          <w:szCs w:val="18"/>
          <w:b w:val="1"/>
          <w:bCs w:val="1"/>
          <w:color w:val="auto"/>
        </w:rPr>
        <w:t>(650) 272-6138</w:t>
      </w:r>
    </w:p>
    <w:p>
      <w:pPr>
        <w:spacing w:after="0" w:line="21" w:lineRule="exact"/>
        <w:rPr>
          <w:sz w:val="24"/>
          <w:szCs w:val="24"/>
          <w:color w:val="auto"/>
        </w:rPr>
      </w:pPr>
    </w:p>
    <w:p>
      <w:pPr>
        <w:jc w:val="center"/>
        <w:ind w:right="-299"/>
        <w:spacing w:after="0"/>
        <w:rPr>
          <w:sz w:val="20"/>
          <w:szCs w:val="20"/>
          <w:color w:val="auto"/>
        </w:rPr>
      </w:pPr>
      <w:r>
        <w:rPr>
          <w:rFonts w:ascii="Arial" w:cs="Arial" w:eastAsia="Arial" w:hAnsi="Arial"/>
          <w:sz w:val="14"/>
          <w:szCs w:val="14"/>
          <w:b w:val="1"/>
          <w:bCs w:val="1"/>
          <w:color w:val="auto"/>
        </w:rPr>
        <w:t>(Registrant’s telephone number, including area code)</w:t>
      </w:r>
    </w:p>
    <w:p>
      <w:pPr>
        <w:spacing w:after="0" w:line="192" w:lineRule="exact"/>
        <w:rPr>
          <w:sz w:val="24"/>
          <w:szCs w:val="24"/>
          <w:color w:val="auto"/>
        </w:rPr>
      </w:pPr>
    </w:p>
    <w:p>
      <w:pPr>
        <w:jc w:val="center"/>
        <w:ind w:right="-299"/>
        <w:spacing w:after="0"/>
        <w:rPr>
          <w:sz w:val="20"/>
          <w:szCs w:val="20"/>
          <w:color w:val="auto"/>
        </w:rPr>
      </w:pPr>
      <w:r>
        <w:rPr>
          <w:rFonts w:ascii="Arial" w:cs="Arial" w:eastAsia="Arial" w:hAnsi="Arial"/>
          <w:sz w:val="18"/>
          <w:szCs w:val="18"/>
          <w:b w:val="1"/>
          <w:bCs w:val="1"/>
          <w:color w:val="auto"/>
        </w:rPr>
        <w:t>Not Applicable</w:t>
      </w:r>
    </w:p>
    <w:p>
      <w:pPr>
        <w:spacing w:after="0" w:line="21" w:lineRule="exact"/>
        <w:rPr>
          <w:sz w:val="24"/>
          <w:szCs w:val="24"/>
          <w:color w:val="auto"/>
        </w:rPr>
      </w:pPr>
    </w:p>
    <w:p>
      <w:pPr>
        <w:jc w:val="center"/>
        <w:ind w:right="-299"/>
        <w:spacing w:after="0"/>
        <w:rPr>
          <w:sz w:val="20"/>
          <w:szCs w:val="20"/>
          <w:color w:val="auto"/>
        </w:rPr>
      </w:pPr>
      <w:r>
        <w:rPr>
          <w:rFonts w:ascii="Arial" w:cs="Arial" w:eastAsia="Arial" w:hAnsi="Arial"/>
          <w:sz w:val="12"/>
          <w:szCs w:val="12"/>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242570</wp:posOffset>
            </wp:positionV>
            <wp:extent cx="146621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ectPr>
          <w:pgSz w:w="11900" w:h="16838" w:orient="portrait"/>
          <w:cols w:equalWidth="0" w:num="1">
            <w:col w:w="10740"/>
          </w:cols>
          <w:pgMar w:left="440" w:top="368" w:right="719" w:bottom="1440" w:gutter="0" w:footer="0" w:header="0"/>
          <w:type w:val="continuous"/>
        </w:sectPr>
      </w:pPr>
    </w:p>
    <w:p>
      <w:pPr>
        <w:spacing w:after="0" w:line="200" w:lineRule="exact"/>
        <w:rPr>
          <w:sz w:val="24"/>
          <w:szCs w:val="24"/>
          <w:color w:val="auto"/>
        </w:rPr>
      </w:pPr>
    </w:p>
    <w:p>
      <w:pPr>
        <w:spacing w:after="0" w:line="397" w:lineRule="exact"/>
        <w:rPr>
          <w:sz w:val="24"/>
          <w:szCs w:val="24"/>
          <w:color w:val="auto"/>
        </w:rPr>
      </w:pPr>
    </w:p>
    <w:p>
      <w:pPr>
        <w:ind w:right="1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76" w:lineRule="exact"/>
        <w:rPr>
          <w:sz w:val="24"/>
          <w:szCs w:val="24"/>
          <w:color w:val="auto"/>
        </w:rPr>
      </w:pPr>
    </w:p>
    <w:p>
      <w:pPr>
        <w:ind w:left="860" w:hanging="424"/>
        <w:spacing w:after="0"/>
        <w:tabs>
          <w:tab w:leader="none" w:pos="8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860" w:hanging="424"/>
        <w:spacing w:after="0"/>
        <w:tabs>
          <w:tab w:leader="none" w:pos="8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860" w:hanging="424"/>
        <w:spacing w:after="0"/>
        <w:tabs>
          <w:tab w:leader="none" w:pos="8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860" w:hanging="424"/>
        <w:spacing w:after="0"/>
        <w:tabs>
          <w:tab w:leader="none" w:pos="8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117" w:lineRule="exact"/>
        <w:rPr>
          <w:sz w:val="24"/>
          <w:szCs w:val="24"/>
          <w:color w:val="auto"/>
        </w:rPr>
      </w:pPr>
    </w:p>
    <w:p>
      <w:pPr>
        <w:ind w:right="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30"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73660</wp:posOffset>
            </wp:positionV>
            <wp:extent cx="699770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7700"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116205</wp:posOffset>
            </wp:positionV>
            <wp:extent cx="699770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7700" cy="8890"/>
                    </a:xfrm>
                    <a:prstGeom prst="rect">
                      <a:avLst/>
                    </a:prstGeom>
                    <a:noFill/>
                  </pic:spPr>
                </pic:pic>
              </a:graphicData>
            </a:graphic>
          </wp:anchor>
        </w:drawing>
      </w:r>
    </w:p>
    <w:p>
      <w:pPr>
        <w:sectPr>
          <w:pgSz w:w="11900" w:h="16838" w:orient="portrait"/>
          <w:cols w:equalWidth="0" w:num="1">
            <w:col w:w="10740"/>
          </w:cols>
          <w:pgMar w:left="440" w:top="368" w:right="719" w:bottom="1440" w:gutter="0" w:footer="0" w:header="0"/>
          <w:type w:val="continuous"/>
        </w:sectPr>
      </w:pPr>
    </w:p>
    <w:bookmarkStart w:id="1" w:name="page2"/>
    <w:bookmarkEnd w:id="1"/>
    <w:p>
      <w:pPr>
        <w:spacing w:after="0"/>
        <w:tabs>
          <w:tab w:leader="none" w:pos="96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2.02.</w:t>
      </w:r>
      <w:r>
        <w:rPr>
          <w:sz w:val="20"/>
          <w:szCs w:val="20"/>
          <w:color w:val="auto"/>
        </w:rPr>
        <w:tab/>
      </w:r>
      <w:r>
        <w:rPr>
          <w:rFonts w:ascii="Arial" w:cs="Arial" w:eastAsia="Arial" w:hAnsi="Arial"/>
          <w:sz w:val="16"/>
          <w:szCs w:val="16"/>
          <w:b w:val="1"/>
          <w:bCs w:val="1"/>
          <w:color w:val="auto"/>
        </w:rPr>
        <w:t>Results of Operations and Financial Condition.</w:t>
      </w:r>
    </w:p>
    <w:p>
      <w:pPr>
        <w:spacing w:after="0" w:line="121" w:lineRule="exact"/>
        <w:rPr>
          <w:sz w:val="20"/>
          <w:szCs w:val="20"/>
          <w:color w:val="auto"/>
        </w:rPr>
      </w:pPr>
    </w:p>
    <w:p>
      <w:pPr>
        <w:jc w:val="both"/>
        <w:ind w:firstLine="441"/>
        <w:spacing w:after="0" w:line="264" w:lineRule="auto"/>
        <w:rPr>
          <w:sz w:val="20"/>
          <w:szCs w:val="20"/>
          <w:color w:val="auto"/>
        </w:rPr>
      </w:pPr>
      <w:r>
        <w:rPr>
          <w:rFonts w:ascii="Arial" w:cs="Arial" w:eastAsia="Arial" w:hAnsi="Arial"/>
          <w:sz w:val="18"/>
          <w:szCs w:val="18"/>
          <w:color w:val="auto"/>
        </w:rPr>
        <w:t>On March 14, 2019, Eiger BioPharmaceuticals, Inc. reported its financial results for the quarter and year ended December 31, 2018. A copy of the press release titled “Eiger BioPharmaceuticals Reports Fourth Quarter and Full Year 2018 Financial Results and Provides Business Update,” is furnished pursuant to Item 2.02 as Exhibit 99.1 hereto and is incorporated herein by reference.</w:t>
      </w:r>
    </w:p>
    <w:p>
      <w:pPr>
        <w:spacing w:after="0" w:line="181" w:lineRule="exact"/>
        <w:rPr>
          <w:sz w:val="20"/>
          <w:szCs w:val="20"/>
          <w:color w:val="auto"/>
        </w:rPr>
      </w:pPr>
    </w:p>
    <w:p>
      <w:pPr>
        <w:jc w:val="both"/>
        <w:ind w:right="20" w:firstLine="441"/>
        <w:spacing w:after="0" w:line="291" w:lineRule="auto"/>
        <w:rPr>
          <w:sz w:val="20"/>
          <w:szCs w:val="20"/>
          <w:color w:val="auto"/>
        </w:rPr>
      </w:pPr>
      <w:r>
        <w:rPr>
          <w:rFonts w:ascii="Arial" w:cs="Arial" w:eastAsia="Arial" w:hAnsi="Arial"/>
          <w:sz w:val="16"/>
          <w:szCs w:val="16"/>
          <w:color w:val="auto"/>
        </w:rPr>
        <w:t>The information in this item 2.02 and in the press release attached as Exhibit 99.1 to this Current Report on Form 8-K shall not be deemed to be “filed” for purposes of Section 18 of the Securities Exchange Act of 1934, as amended, or otherwise subject to the liabilities of that Section 11 and 12(a)</w:t>
      </w:r>
    </w:p>
    <w:p>
      <w:pPr>
        <w:ind w:right="160" w:firstLine="4"/>
        <w:spacing w:after="0" w:line="277" w:lineRule="auto"/>
        <w:tabs>
          <w:tab w:leader="none" w:pos="255" w:val="left"/>
        </w:tabs>
        <w:numPr>
          <w:ilvl w:val="0"/>
          <w:numId w:val="2"/>
        </w:numPr>
        <w:rPr>
          <w:rFonts w:ascii="Arial" w:cs="Arial" w:eastAsia="Arial" w:hAnsi="Arial"/>
          <w:sz w:val="17"/>
          <w:szCs w:val="17"/>
          <w:color w:val="auto"/>
        </w:rPr>
      </w:pPr>
      <w:r>
        <w:rPr>
          <w:rFonts w:ascii="Arial" w:cs="Arial" w:eastAsia="Arial" w:hAnsi="Arial"/>
          <w:sz w:val="17"/>
          <w:szCs w:val="17"/>
          <w:color w:val="auto"/>
        </w:rPr>
        <w:t>of the Securities Act of 1933, as amended. The information in this item 2.02 and in the press release attached as Exhibit 99.1 to this Current Report on Form 8-K shall not be incorporated by reference into any filing with the U.S. Securities and Exchange Commission made by Eiger BioPharmaceuticals, Inc., whether made before or after the date hereof, regardless of any general incorporation language in such filing.</w:t>
      </w:r>
    </w:p>
    <w:p>
      <w:pPr>
        <w:spacing w:after="0" w:line="318" w:lineRule="exact"/>
        <w:rPr>
          <w:sz w:val="20"/>
          <w:szCs w:val="20"/>
          <w:color w:val="auto"/>
        </w:rPr>
      </w:pPr>
    </w:p>
    <w:p>
      <w:pPr>
        <w:spacing w:after="0"/>
        <w:tabs>
          <w:tab w:leader="none" w:pos="96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256" w:lineRule="exact"/>
        <w:rPr>
          <w:sz w:val="20"/>
          <w:szCs w:val="20"/>
          <w:color w:val="auto"/>
        </w:rPr>
      </w:pPr>
    </w:p>
    <w:p>
      <w:pPr>
        <w:ind w:left="440" w:hanging="436"/>
        <w:spacing w:after="0"/>
        <w:tabs>
          <w:tab w:leader="none" w:pos="440" w:val="left"/>
        </w:tabs>
        <w:numPr>
          <w:ilvl w:val="0"/>
          <w:numId w:val="3"/>
        </w:numPr>
        <w:rPr>
          <w:rFonts w:ascii="Arial" w:cs="Arial" w:eastAsia="Arial" w:hAnsi="Arial"/>
          <w:sz w:val="18"/>
          <w:szCs w:val="18"/>
          <w:color w:val="auto"/>
        </w:rPr>
      </w:pPr>
      <w:r>
        <w:rPr>
          <w:rFonts w:ascii="Arial" w:cs="Arial" w:eastAsia="Arial" w:hAnsi="Arial"/>
          <w:sz w:val="18"/>
          <w:szCs w:val="18"/>
          <w:color w:val="auto"/>
        </w:rPr>
        <w:t>Exhibits.</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720" w:type="dxa"/>
            <w:vAlign w:val="bottom"/>
          </w:tcPr>
          <w:p>
            <w:pPr>
              <w:spacing w:after="0"/>
              <w:rPr>
                <w:sz w:val="20"/>
                <w:szCs w:val="20"/>
                <w:color w:val="auto"/>
              </w:rPr>
            </w:pPr>
            <w:r>
              <w:rPr>
                <w:rFonts w:ascii="Arial" w:cs="Arial" w:eastAsia="Arial" w:hAnsi="Arial"/>
                <w:sz w:val="14"/>
                <w:szCs w:val="14"/>
                <w:b w:val="1"/>
                <w:bCs w:val="1"/>
                <w:color w:val="auto"/>
                <w:w w:val="95"/>
              </w:rPr>
              <w:t>Exhibit No.</w:t>
            </w:r>
          </w:p>
        </w:tc>
        <w:tc>
          <w:tcPr>
            <w:tcW w:w="720" w:type="dxa"/>
            <w:vAlign w:val="bottom"/>
          </w:tcPr>
          <w:p>
            <w:pPr>
              <w:spacing w:after="0"/>
              <w:rPr>
                <w:sz w:val="14"/>
                <w:szCs w:val="14"/>
                <w:color w:val="auto"/>
              </w:rPr>
            </w:pPr>
          </w:p>
        </w:tc>
        <w:tc>
          <w:tcPr>
            <w:tcW w:w="9500" w:type="dxa"/>
            <w:vAlign w:val="bottom"/>
            <w:gridSpan w:val="4"/>
          </w:tcPr>
          <w:p>
            <w:pPr>
              <w:spacing w:after="0"/>
              <w:rPr>
                <w:sz w:val="20"/>
                <w:szCs w:val="20"/>
                <w:color w:val="auto"/>
              </w:rPr>
            </w:pPr>
            <w:r>
              <w:rPr>
                <w:rFonts w:ascii="Arial" w:cs="Arial" w:eastAsia="Arial" w:hAnsi="Arial"/>
                <w:sz w:val="14"/>
                <w:szCs w:val="14"/>
                <w:b w:val="1"/>
                <w:bCs w:val="1"/>
                <w:color w:val="auto"/>
              </w:rPr>
              <w:t>Description</w:t>
            </w:r>
          </w:p>
        </w:tc>
      </w:tr>
      <w:tr>
        <w:trPr>
          <w:trHeight w:val="20"/>
        </w:trPr>
        <w:tc>
          <w:tcPr>
            <w:tcW w:w="720" w:type="dxa"/>
            <w:vAlign w:val="bottom"/>
            <w:shd w:val="clear" w:color="auto" w:fill="000000"/>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7180" w:type="dxa"/>
            <w:vAlign w:val="bottom"/>
          </w:tcPr>
          <w:p>
            <w:pPr>
              <w:spacing w:after="0" w:line="20" w:lineRule="exact"/>
              <w:rPr>
                <w:sz w:val="1"/>
                <w:szCs w:val="1"/>
                <w:color w:val="auto"/>
              </w:rPr>
            </w:pPr>
          </w:p>
        </w:tc>
      </w:tr>
      <w:tr>
        <w:trPr>
          <w:trHeight w:val="277"/>
        </w:trPr>
        <w:tc>
          <w:tcPr>
            <w:tcW w:w="720" w:type="dxa"/>
            <w:vAlign w:val="bottom"/>
          </w:tcPr>
          <w:p>
            <w:pPr>
              <w:spacing w:after="0"/>
              <w:rPr>
                <w:sz w:val="20"/>
                <w:szCs w:val="20"/>
                <w:color w:val="auto"/>
              </w:rPr>
            </w:pPr>
            <w:r>
              <w:rPr>
                <w:rFonts w:ascii="Arial" w:cs="Arial" w:eastAsia="Arial" w:hAnsi="Arial"/>
                <w:sz w:val="18"/>
                <w:szCs w:val="18"/>
                <w:color w:val="auto"/>
              </w:rPr>
              <w:t>99.1</w:t>
            </w:r>
          </w:p>
        </w:tc>
        <w:tc>
          <w:tcPr>
            <w:tcW w:w="720" w:type="dxa"/>
            <w:vAlign w:val="bottom"/>
          </w:tcPr>
          <w:p>
            <w:pPr>
              <w:spacing w:after="0"/>
              <w:rPr>
                <w:sz w:val="24"/>
                <w:szCs w:val="24"/>
                <w:color w:val="auto"/>
              </w:rPr>
            </w:pPr>
          </w:p>
        </w:tc>
        <w:tc>
          <w:tcPr>
            <w:tcW w:w="9500" w:type="dxa"/>
            <w:vAlign w:val="bottom"/>
            <w:tcBorders>
              <w:bottom w:val="single" w:sz="8" w:color="0000EE"/>
            </w:tcBorders>
            <w:gridSpan w:val="4"/>
          </w:tcPr>
          <w:p>
            <w:pPr>
              <w:spacing w:after="0"/>
              <w:rPr>
                <w:rFonts w:ascii="Arial" w:cs="Arial" w:eastAsia="Arial" w:hAnsi="Arial"/>
                <w:sz w:val="18"/>
                <w:szCs w:val="18"/>
                <w:color w:val="0000EE"/>
                <w:w w:val="90"/>
              </w:rPr>
            </w:pPr>
            <w:hyperlink w:anchor="page4">
              <w:r>
                <w:rPr>
                  <w:rFonts w:ascii="Arial" w:cs="Arial" w:eastAsia="Arial" w:hAnsi="Arial"/>
                  <w:sz w:val="18"/>
                  <w:szCs w:val="18"/>
                  <w:color w:val="0000EE"/>
                  <w:w w:val="90"/>
                </w:rPr>
                <w:t>Press release, dated March 14, 2019, titled “Eiger BioPharmaceuticals Reports Fourth Quarter and Full Year 2018 Financial Results</w:t>
              </w:r>
            </w:hyperlink>
          </w:p>
        </w:tc>
      </w:tr>
      <w:tr>
        <w:trPr>
          <w:trHeight w:val="196"/>
        </w:trPr>
        <w:tc>
          <w:tcPr>
            <w:tcW w:w="7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320" w:type="dxa"/>
            <w:vAlign w:val="bottom"/>
            <w:tcBorders>
              <w:bottom w:val="single" w:sz="8" w:color="0000EE"/>
            </w:tcBorders>
            <w:gridSpan w:val="3"/>
          </w:tcPr>
          <w:p>
            <w:pPr>
              <w:spacing w:after="0" w:line="196" w:lineRule="exact"/>
              <w:rPr>
                <w:rFonts w:ascii="Arial" w:cs="Arial" w:eastAsia="Arial" w:hAnsi="Arial"/>
                <w:sz w:val="18"/>
                <w:szCs w:val="18"/>
                <w:color w:val="0000EE"/>
                <w:w w:val="89"/>
              </w:rPr>
            </w:pPr>
            <w:hyperlink w:anchor="page4">
              <w:r>
                <w:rPr>
                  <w:rFonts w:ascii="Arial" w:cs="Arial" w:eastAsia="Arial" w:hAnsi="Arial"/>
                  <w:sz w:val="18"/>
                  <w:szCs w:val="18"/>
                  <w:color w:val="0000EE"/>
                  <w:w w:val="89"/>
                </w:rPr>
                <w:t>and Provides Business Update.”</w:t>
              </w:r>
            </w:hyperlink>
          </w:p>
        </w:tc>
        <w:tc>
          <w:tcPr>
            <w:tcW w:w="7180" w:type="dxa"/>
            <w:vAlign w:val="bottom"/>
          </w:tcPr>
          <w:p>
            <w:pPr>
              <w:spacing w:after="0"/>
              <w:rPr>
                <w:sz w:val="17"/>
                <w:szCs w:val="17"/>
                <w:color w:val="auto"/>
              </w:rPr>
            </w:pPr>
          </w:p>
        </w:tc>
      </w:tr>
    </w:tbl>
    <w:p>
      <w:pPr>
        <w:sectPr>
          <w:pgSz w:w="11900" w:h="16838" w:orient="portrait"/>
          <w:cols w:equalWidth="0" w:num="1">
            <w:col w:w="11020"/>
          </w:cols>
          <w:pgMar w:left="440" w:top="270" w:right="439" w:bottom="1440" w:gutter="0" w:footer="0" w:header="0"/>
        </w:sectPr>
      </w:pPr>
    </w:p>
    <w:bookmarkStart w:id="2" w:name="page3"/>
    <w:bookmarkEnd w:id="2"/>
    <w:p>
      <w:pPr>
        <w:jc w:val="center"/>
        <w:ind w:right="-23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SIGNATURES</w:t>
      </w:r>
    </w:p>
    <w:p>
      <w:pPr>
        <w:spacing w:after="0" w:line="229" w:lineRule="exact"/>
        <w:rPr>
          <w:sz w:val="20"/>
          <w:szCs w:val="20"/>
          <w:color w:val="auto"/>
        </w:rPr>
      </w:pPr>
    </w:p>
    <w:p>
      <w:pPr>
        <w:ind w:firstLine="441"/>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93" w:lineRule="exact"/>
        <w:rPr>
          <w:sz w:val="20"/>
          <w:szCs w:val="20"/>
          <w:color w:val="auto"/>
        </w:rPr>
      </w:pPr>
    </w:p>
    <w:p>
      <w:pPr>
        <w:ind w:left="5680"/>
        <w:spacing w:after="0"/>
        <w:rPr>
          <w:sz w:val="20"/>
          <w:szCs w:val="20"/>
          <w:color w:val="auto"/>
        </w:rPr>
      </w:pPr>
      <w:r>
        <w:rPr>
          <w:rFonts w:ascii="Arial" w:cs="Arial" w:eastAsia="Arial" w:hAnsi="Arial"/>
          <w:sz w:val="18"/>
          <w:szCs w:val="18"/>
          <w:b w:val="1"/>
          <w:bCs w:val="1"/>
          <w:color w:val="auto"/>
        </w:rPr>
        <w:t>Eiger BioPharmaceuticals, Inc.</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Dated: March 14, 2019</w:t>
      </w:r>
    </w:p>
    <w:p>
      <w:pPr>
        <w:spacing w:after="0" w:line="23" w:lineRule="exact"/>
        <w:rPr>
          <w:sz w:val="20"/>
          <w:szCs w:val="20"/>
          <w:color w:val="auto"/>
        </w:rPr>
      </w:pPr>
    </w:p>
    <w:p>
      <w:pPr>
        <w:ind w:left="5680"/>
        <w:spacing w:after="0"/>
        <w:rPr>
          <w:sz w:val="20"/>
          <w:szCs w:val="20"/>
          <w:color w:val="auto"/>
        </w:rPr>
      </w:pPr>
      <w:r>
        <w:rPr>
          <w:rFonts w:ascii="Arial" w:cs="Arial" w:eastAsia="Arial" w:hAnsi="Arial"/>
          <w:sz w:val="18"/>
          <w:szCs w:val="18"/>
          <w:color w:val="auto"/>
        </w:rPr>
        <w:t>By:  /s/ Sriram Ryali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3856990</wp:posOffset>
            </wp:positionH>
            <wp:positionV relativeFrom="paragraph">
              <wp:posOffset>5715</wp:posOffset>
            </wp:positionV>
            <wp:extent cx="314706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147060" cy="8890"/>
                    </a:xfrm>
                    <a:prstGeom prst="rect">
                      <a:avLst/>
                    </a:prstGeom>
                    <a:noFill/>
                  </pic:spPr>
                </pic:pic>
              </a:graphicData>
            </a:graphic>
          </wp:anchor>
        </w:drawing>
      </w:r>
    </w:p>
    <w:p>
      <w:pPr>
        <w:spacing w:after="0" w:line="2"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Sriram Ryali</w:t>
      </w:r>
    </w:p>
    <w:p>
      <w:pPr>
        <w:spacing w:after="0" w:line="23"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Chief Financial Officer</w:t>
      </w:r>
    </w:p>
    <w:p>
      <w:pPr>
        <w:sectPr>
          <w:pgSz w:w="11900" w:h="16838" w:orient="portrait"/>
          <w:cols w:equalWidth="0" w:num="1">
            <w:col w:w="10780"/>
          </w:cols>
          <w:pgMar w:left="440" w:top="270" w:right="679" w:bottom="1440" w:gutter="0" w:footer="0" w:header="0"/>
        </w:sectPr>
      </w:pPr>
    </w:p>
    <w:bookmarkStart w:id="3" w:name="page4"/>
    <w:bookmarkEnd w:id="3"/>
    <w:p>
      <w:pPr>
        <w:ind w:left="10100"/>
        <w:spacing w:after="0"/>
        <w:rPr>
          <w:sz w:val="20"/>
          <w:szCs w:val="20"/>
          <w:color w:val="auto"/>
        </w:rPr>
      </w:pPr>
      <w:r>
        <w:rPr>
          <w:rFonts w:ascii="Arial" w:cs="Arial" w:eastAsia="Arial" w:hAnsi="Arial"/>
          <w:sz w:val="16"/>
          <w:szCs w:val="16"/>
          <w:b w:val="1"/>
          <w:bCs w:val="1"/>
          <w:color w:val="auto"/>
        </w:rPr>
        <w:t>Exhibit 99.1</w:t>
      </w:r>
    </w:p>
    <w:p>
      <w:pPr>
        <w:spacing w:after="0" w:line="244" w:lineRule="exact"/>
        <w:rPr>
          <w:sz w:val="20"/>
          <w:szCs w:val="20"/>
          <w:color w:val="auto"/>
        </w:rPr>
      </w:pPr>
    </w:p>
    <w:p>
      <w:pPr>
        <w:ind w:right="40"/>
        <w:spacing w:after="0" w:line="282" w:lineRule="auto"/>
        <w:rPr>
          <w:sz w:val="20"/>
          <w:szCs w:val="20"/>
          <w:color w:val="auto"/>
        </w:rPr>
      </w:pPr>
      <w:r>
        <w:rPr>
          <w:rFonts w:ascii="Arial" w:cs="Arial" w:eastAsia="Arial" w:hAnsi="Arial"/>
          <w:sz w:val="25"/>
          <w:szCs w:val="25"/>
          <w:b w:val="1"/>
          <w:bCs w:val="1"/>
          <w:color w:val="auto"/>
        </w:rPr>
        <w:t>Eiger BioPharmaceuticals Reports Fourth Quarter and Full Year 2018 Financial Results and Provides Business Update</w:t>
      </w:r>
    </w:p>
    <w:p>
      <w:pPr>
        <w:spacing w:after="0" w:line="170" w:lineRule="exact"/>
        <w:rPr>
          <w:sz w:val="20"/>
          <w:szCs w:val="20"/>
          <w:color w:val="auto"/>
        </w:rPr>
      </w:pPr>
    </w:p>
    <w:p>
      <w:pPr>
        <w:ind w:left="440" w:hanging="436"/>
        <w:spacing w:after="0"/>
        <w:tabs>
          <w:tab w:leader="none" w:pos="440" w:val="left"/>
        </w:tabs>
        <w:numPr>
          <w:ilvl w:val="0"/>
          <w:numId w:val="4"/>
        </w:numPr>
        <w:rPr>
          <w:rFonts w:ascii="Arial" w:cs="Arial" w:eastAsia="Arial" w:hAnsi="Arial"/>
          <w:sz w:val="18"/>
          <w:szCs w:val="18"/>
          <w:color w:val="auto"/>
        </w:rPr>
      </w:pPr>
      <w:r>
        <w:rPr>
          <w:rFonts w:ascii="Arial" w:cs="Arial" w:eastAsia="Arial" w:hAnsi="Arial"/>
          <w:sz w:val="18"/>
          <w:szCs w:val="18"/>
          <w:color w:val="auto"/>
        </w:rPr>
        <w:t>Began 2019 with $100.4 million in cash, cash equivalents &amp; short-term investments</w:t>
      </w:r>
    </w:p>
    <w:p>
      <w:pPr>
        <w:spacing w:after="0" w:line="252" w:lineRule="exact"/>
        <w:rPr>
          <w:rFonts w:ascii="Arial" w:cs="Arial" w:eastAsia="Arial" w:hAnsi="Arial"/>
          <w:sz w:val="18"/>
          <w:szCs w:val="18"/>
          <w:color w:val="auto"/>
        </w:rPr>
      </w:pPr>
    </w:p>
    <w:p>
      <w:pPr>
        <w:ind w:left="440" w:hanging="436"/>
        <w:spacing w:after="0"/>
        <w:tabs>
          <w:tab w:leader="none" w:pos="440" w:val="left"/>
        </w:tabs>
        <w:numPr>
          <w:ilvl w:val="0"/>
          <w:numId w:val="4"/>
        </w:numPr>
        <w:rPr>
          <w:rFonts w:ascii="Arial" w:cs="Arial" w:eastAsia="Arial" w:hAnsi="Arial"/>
          <w:sz w:val="18"/>
          <w:szCs w:val="18"/>
          <w:color w:val="auto"/>
        </w:rPr>
      </w:pPr>
      <w:r>
        <w:rPr>
          <w:rFonts w:ascii="Arial" w:cs="Arial" w:eastAsia="Arial" w:hAnsi="Arial"/>
          <w:sz w:val="18"/>
          <w:szCs w:val="18"/>
          <w:color w:val="auto"/>
        </w:rPr>
        <w:t>Enrollment of Phase 3 D-LIVR Study in HDV planned by end of 2019</w:t>
      </w:r>
    </w:p>
    <w:p>
      <w:pPr>
        <w:spacing w:after="0" w:line="252" w:lineRule="exact"/>
        <w:rPr>
          <w:rFonts w:ascii="Arial" w:cs="Arial" w:eastAsia="Arial" w:hAnsi="Arial"/>
          <w:sz w:val="18"/>
          <w:szCs w:val="18"/>
          <w:color w:val="auto"/>
        </w:rPr>
      </w:pPr>
    </w:p>
    <w:p>
      <w:pPr>
        <w:ind w:left="440" w:hanging="436"/>
        <w:spacing w:after="0"/>
        <w:tabs>
          <w:tab w:leader="none" w:pos="440" w:val="left"/>
        </w:tabs>
        <w:numPr>
          <w:ilvl w:val="0"/>
          <w:numId w:val="4"/>
        </w:numPr>
        <w:rPr>
          <w:rFonts w:ascii="Arial" w:cs="Arial" w:eastAsia="Arial" w:hAnsi="Arial"/>
          <w:sz w:val="18"/>
          <w:szCs w:val="18"/>
          <w:color w:val="auto"/>
        </w:rPr>
      </w:pPr>
      <w:r>
        <w:rPr>
          <w:rFonts w:ascii="Arial" w:cs="Arial" w:eastAsia="Arial" w:hAnsi="Arial"/>
          <w:sz w:val="18"/>
          <w:szCs w:val="18"/>
          <w:color w:val="auto"/>
        </w:rPr>
        <w:t>NDA and MAA filings for Progeria and Progeroid Laminopathies planned in 2019</w:t>
      </w:r>
    </w:p>
    <w:p>
      <w:pPr>
        <w:spacing w:after="0" w:line="221" w:lineRule="exact"/>
        <w:rPr>
          <w:sz w:val="20"/>
          <w:szCs w:val="20"/>
          <w:color w:val="auto"/>
        </w:rPr>
      </w:pPr>
    </w:p>
    <w:p>
      <w:pPr>
        <w:ind w:right="240"/>
        <w:spacing w:after="0" w:line="266" w:lineRule="auto"/>
        <w:rPr>
          <w:sz w:val="20"/>
          <w:szCs w:val="20"/>
          <w:color w:val="auto"/>
        </w:rPr>
      </w:pPr>
      <w:r>
        <w:rPr>
          <w:rFonts w:ascii="Arial" w:cs="Arial" w:eastAsia="Arial" w:hAnsi="Arial"/>
          <w:sz w:val="18"/>
          <w:szCs w:val="18"/>
          <w:b w:val="1"/>
          <w:bCs w:val="1"/>
          <w:color w:val="auto"/>
        </w:rPr>
        <w:t xml:space="preserve">PALO ALTO, Calif., March 14, 2019 </w:t>
      </w:r>
      <w:r>
        <w:rPr>
          <w:rFonts w:ascii="Arial" w:cs="Arial" w:eastAsia="Arial" w:hAnsi="Arial"/>
          <w:sz w:val="18"/>
          <w:szCs w:val="18"/>
          <w:color w:val="auto"/>
        </w:rPr>
        <w:t>— Eiger BioPharmaceuticals, Inc. (Nasdaq:EIGR), focused on the development and commercialization of</w:t>
      </w:r>
      <w:r>
        <w:rPr>
          <w:rFonts w:ascii="Arial" w:cs="Arial" w:eastAsia="Arial" w:hAnsi="Arial"/>
          <w:sz w:val="18"/>
          <w:szCs w:val="18"/>
          <w:b w:val="1"/>
          <w:bCs w:val="1"/>
          <w:color w:val="auto"/>
        </w:rPr>
        <w:t xml:space="preserve"> </w:t>
      </w:r>
      <w:r>
        <w:rPr>
          <w:rFonts w:ascii="Arial" w:cs="Arial" w:eastAsia="Arial" w:hAnsi="Arial"/>
          <w:sz w:val="18"/>
          <w:szCs w:val="18"/>
          <w:color w:val="auto"/>
        </w:rPr>
        <w:t>targeted therapies for serious rare and ultra-rare diseases, today reported financial results for the three months and year ended December 31, 2018 and provided a business update.</w:t>
      </w:r>
    </w:p>
    <w:p>
      <w:pPr>
        <w:spacing w:after="0" w:line="180" w:lineRule="exact"/>
        <w:rPr>
          <w:sz w:val="20"/>
          <w:szCs w:val="20"/>
          <w:color w:val="auto"/>
        </w:rPr>
      </w:pPr>
    </w:p>
    <w:p>
      <w:pPr>
        <w:jc w:val="both"/>
        <w:ind w:right="40"/>
        <w:spacing w:after="0" w:line="286" w:lineRule="auto"/>
        <w:rPr>
          <w:sz w:val="20"/>
          <w:szCs w:val="20"/>
          <w:color w:val="auto"/>
        </w:rPr>
      </w:pPr>
      <w:r>
        <w:rPr>
          <w:rFonts w:ascii="Arial" w:cs="Arial" w:eastAsia="Arial" w:hAnsi="Arial"/>
          <w:sz w:val="17"/>
          <w:szCs w:val="17"/>
          <w:color w:val="auto"/>
        </w:rPr>
        <w:t>“We expect 2019 to be a transformative year for Eiger as we plan to file the first-ever NDA and MAA for Progeria and Progeroid Laminopathies and to enroll the first-ever international Phase 3 study in Hepatitis Delta Virus infection,” said David Cory, Eiger President and Chief Executive Officer. “Eiger is poised for significant growth by delivering first-in-class therapies to patients with serious rare and ultra-rare diseases.”</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Highlights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Hepatitis D Virus (HDV) Program</w:t>
      </w:r>
    </w:p>
    <w:p>
      <w:pPr>
        <w:spacing w:after="0" w:line="117"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Lonafarnib in HDV</w:t>
      </w:r>
    </w:p>
    <w:p>
      <w:pPr>
        <w:spacing w:after="0" w:line="131" w:lineRule="exact"/>
        <w:rPr>
          <w:sz w:val="20"/>
          <w:szCs w:val="20"/>
          <w:color w:val="auto"/>
        </w:rPr>
      </w:pPr>
    </w:p>
    <w:p>
      <w:pPr>
        <w:ind w:left="860" w:hanging="316"/>
        <w:spacing w:after="0"/>
        <w:tabs>
          <w:tab w:leader="none" w:pos="860" w:val="left"/>
        </w:tabs>
        <w:numPr>
          <w:ilvl w:val="0"/>
          <w:numId w:val="5"/>
        </w:numPr>
        <w:rPr>
          <w:rFonts w:ascii="Arial" w:cs="Arial" w:eastAsia="Arial" w:hAnsi="Arial"/>
          <w:sz w:val="18"/>
          <w:szCs w:val="18"/>
          <w:color w:val="auto"/>
        </w:rPr>
      </w:pPr>
      <w:r>
        <w:rPr>
          <w:rFonts w:ascii="Arial" w:cs="Arial" w:eastAsia="Arial" w:hAnsi="Arial"/>
          <w:sz w:val="18"/>
          <w:szCs w:val="18"/>
          <w:i w:val="1"/>
          <w:iCs w:val="1"/>
          <w:color w:val="auto"/>
        </w:rPr>
        <w:t>Lonafarnib+Ritonavir patent portfolio expanded to include US, Europe and Japan</w:t>
      </w:r>
    </w:p>
    <w:p>
      <w:pPr>
        <w:spacing w:after="0" w:line="130" w:lineRule="exact"/>
        <w:rPr>
          <w:rFonts w:ascii="Arial" w:cs="Arial" w:eastAsia="Arial" w:hAnsi="Arial"/>
          <w:sz w:val="18"/>
          <w:szCs w:val="18"/>
          <w:color w:val="auto"/>
        </w:rPr>
      </w:pPr>
    </w:p>
    <w:p>
      <w:pPr>
        <w:ind w:left="860" w:hanging="316"/>
        <w:spacing w:after="0"/>
        <w:tabs>
          <w:tab w:leader="none" w:pos="860" w:val="left"/>
        </w:tabs>
        <w:numPr>
          <w:ilvl w:val="0"/>
          <w:numId w:val="5"/>
        </w:numPr>
        <w:rPr>
          <w:rFonts w:ascii="Arial" w:cs="Arial" w:eastAsia="Arial" w:hAnsi="Arial"/>
          <w:sz w:val="18"/>
          <w:szCs w:val="18"/>
          <w:color w:val="auto"/>
        </w:rPr>
      </w:pPr>
      <w:r>
        <w:rPr>
          <w:rFonts w:ascii="Arial" w:cs="Arial" w:eastAsia="Arial" w:hAnsi="Arial"/>
          <w:sz w:val="18"/>
          <w:szCs w:val="18"/>
          <w:i w:val="1"/>
          <w:iCs w:val="1"/>
          <w:color w:val="auto"/>
        </w:rPr>
        <w:t>Breakthrough Therapy designation granted by FDA</w:t>
      </w:r>
    </w:p>
    <w:p>
      <w:pPr>
        <w:spacing w:after="0" w:line="130" w:lineRule="exact"/>
        <w:rPr>
          <w:rFonts w:ascii="Arial" w:cs="Arial" w:eastAsia="Arial" w:hAnsi="Arial"/>
          <w:sz w:val="18"/>
          <w:szCs w:val="18"/>
          <w:color w:val="auto"/>
        </w:rPr>
      </w:pPr>
    </w:p>
    <w:p>
      <w:pPr>
        <w:ind w:left="860" w:hanging="316"/>
        <w:spacing w:after="0"/>
        <w:tabs>
          <w:tab w:leader="none" w:pos="860" w:val="left"/>
        </w:tabs>
        <w:numPr>
          <w:ilvl w:val="0"/>
          <w:numId w:val="5"/>
        </w:numPr>
        <w:rPr>
          <w:rFonts w:ascii="Arial" w:cs="Arial" w:eastAsia="Arial" w:hAnsi="Arial"/>
          <w:sz w:val="18"/>
          <w:szCs w:val="18"/>
          <w:color w:val="auto"/>
        </w:rPr>
      </w:pPr>
      <w:r>
        <w:rPr>
          <w:rFonts w:ascii="Arial" w:cs="Arial" w:eastAsia="Arial" w:hAnsi="Arial"/>
          <w:sz w:val="18"/>
          <w:szCs w:val="18"/>
          <w:i w:val="1"/>
          <w:iCs w:val="1"/>
          <w:color w:val="auto"/>
        </w:rPr>
        <w:t>PRIME designation granted by EMA</w:t>
      </w:r>
    </w:p>
    <w:p>
      <w:pPr>
        <w:spacing w:after="0" w:line="130" w:lineRule="exact"/>
        <w:rPr>
          <w:rFonts w:ascii="Arial" w:cs="Arial" w:eastAsia="Arial" w:hAnsi="Arial"/>
          <w:sz w:val="18"/>
          <w:szCs w:val="18"/>
          <w:color w:val="auto"/>
        </w:rPr>
      </w:pPr>
    </w:p>
    <w:p>
      <w:pPr>
        <w:ind w:left="860" w:hanging="316"/>
        <w:spacing w:after="0"/>
        <w:tabs>
          <w:tab w:leader="none" w:pos="860" w:val="left"/>
        </w:tabs>
        <w:numPr>
          <w:ilvl w:val="0"/>
          <w:numId w:val="5"/>
        </w:numPr>
        <w:rPr>
          <w:rFonts w:ascii="Arial" w:cs="Arial" w:eastAsia="Arial" w:hAnsi="Arial"/>
          <w:sz w:val="18"/>
          <w:szCs w:val="18"/>
          <w:color w:val="auto"/>
        </w:rPr>
      </w:pPr>
      <w:r>
        <w:rPr>
          <w:rFonts w:ascii="Arial" w:cs="Arial" w:eastAsia="Arial" w:hAnsi="Arial"/>
          <w:sz w:val="18"/>
          <w:szCs w:val="18"/>
          <w:i w:val="1"/>
          <w:iCs w:val="1"/>
          <w:color w:val="auto"/>
        </w:rPr>
        <w:t>First site initiated in Phase 3 D-LIVR study</w:t>
      </w:r>
    </w:p>
    <w:p>
      <w:pPr>
        <w:spacing w:after="0" w:line="225" w:lineRule="exact"/>
        <w:rPr>
          <w:sz w:val="20"/>
          <w:szCs w:val="20"/>
          <w:color w:val="auto"/>
        </w:rPr>
      </w:pPr>
    </w:p>
    <w:p>
      <w:pPr>
        <w:ind w:left="440"/>
        <w:spacing w:after="0"/>
        <w:rPr>
          <w:sz w:val="20"/>
          <w:szCs w:val="20"/>
          <w:color w:val="auto"/>
        </w:rPr>
      </w:pPr>
      <w:r>
        <w:rPr>
          <w:rFonts w:ascii="Arial" w:cs="Arial" w:eastAsia="Arial" w:hAnsi="Arial"/>
          <w:sz w:val="18"/>
          <w:szCs w:val="18"/>
          <w:b w:val="1"/>
          <w:bCs w:val="1"/>
          <w:i w:val="1"/>
          <w:iCs w:val="1"/>
          <w:color w:val="auto"/>
        </w:rPr>
        <w:t>Lambda in HDV</w:t>
      </w:r>
    </w:p>
    <w:p>
      <w:pPr>
        <w:spacing w:after="0" w:line="131" w:lineRule="exact"/>
        <w:rPr>
          <w:sz w:val="20"/>
          <w:szCs w:val="20"/>
          <w:color w:val="auto"/>
        </w:rPr>
      </w:pPr>
    </w:p>
    <w:p>
      <w:pPr>
        <w:ind w:left="860" w:hanging="316"/>
        <w:spacing w:after="0"/>
        <w:tabs>
          <w:tab w:leader="none" w:pos="860" w:val="left"/>
        </w:tabs>
        <w:numPr>
          <w:ilvl w:val="0"/>
          <w:numId w:val="6"/>
        </w:numPr>
        <w:rPr>
          <w:rFonts w:ascii="Arial" w:cs="Arial" w:eastAsia="Arial" w:hAnsi="Arial"/>
          <w:sz w:val="16"/>
          <w:szCs w:val="16"/>
          <w:color w:val="auto"/>
        </w:rPr>
      </w:pPr>
      <w:r>
        <w:rPr>
          <w:rFonts w:ascii="Arial" w:cs="Arial" w:eastAsia="Arial" w:hAnsi="Arial"/>
          <w:sz w:val="16"/>
          <w:szCs w:val="16"/>
          <w:i w:val="1"/>
          <w:iCs w:val="1"/>
          <w:color w:val="auto"/>
        </w:rPr>
        <w:t>Phase 2 LIMT (mono therapy) end of study results selected as a late-breaker oral presentation at The International Liver Congress™ 2019</w:t>
      </w:r>
    </w:p>
    <w:p>
      <w:pPr>
        <w:spacing w:after="0" w:line="153" w:lineRule="exact"/>
        <w:rPr>
          <w:rFonts w:ascii="Arial" w:cs="Arial" w:eastAsia="Arial" w:hAnsi="Arial"/>
          <w:sz w:val="16"/>
          <w:szCs w:val="16"/>
          <w:color w:val="auto"/>
        </w:rPr>
      </w:pPr>
    </w:p>
    <w:p>
      <w:pPr>
        <w:ind w:left="860" w:hanging="316"/>
        <w:spacing w:after="0"/>
        <w:tabs>
          <w:tab w:leader="none" w:pos="860" w:val="left"/>
        </w:tabs>
        <w:numPr>
          <w:ilvl w:val="0"/>
          <w:numId w:val="6"/>
        </w:numPr>
        <w:rPr>
          <w:rFonts w:ascii="Arial" w:cs="Arial" w:eastAsia="Arial" w:hAnsi="Arial"/>
          <w:sz w:val="18"/>
          <w:szCs w:val="18"/>
          <w:color w:val="auto"/>
        </w:rPr>
      </w:pPr>
      <w:r>
        <w:rPr>
          <w:rFonts w:ascii="Arial" w:cs="Arial" w:eastAsia="Arial" w:hAnsi="Arial"/>
          <w:sz w:val="18"/>
          <w:szCs w:val="18"/>
          <w:i w:val="1"/>
          <w:iCs w:val="1"/>
          <w:color w:val="auto"/>
        </w:rPr>
        <w:t>Phase 2 LIFT (combo therapy with lonafarnib) dosing at NIH (N=26)</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Lonafarnib in Progeria and Progeroid Laminopathies Program</w:t>
      </w:r>
    </w:p>
    <w:p>
      <w:pPr>
        <w:spacing w:after="0" w:line="131" w:lineRule="exact"/>
        <w:rPr>
          <w:sz w:val="20"/>
          <w:szCs w:val="20"/>
          <w:color w:val="auto"/>
        </w:rPr>
      </w:pPr>
    </w:p>
    <w:p>
      <w:pPr>
        <w:ind w:left="440" w:hanging="328"/>
        <w:spacing w:after="0"/>
        <w:tabs>
          <w:tab w:leader="none" w:pos="440" w:val="left"/>
        </w:tabs>
        <w:numPr>
          <w:ilvl w:val="0"/>
          <w:numId w:val="7"/>
        </w:numPr>
        <w:rPr>
          <w:rFonts w:ascii="Arial" w:cs="Arial" w:eastAsia="Arial" w:hAnsi="Arial"/>
          <w:sz w:val="18"/>
          <w:szCs w:val="18"/>
          <w:color w:val="auto"/>
        </w:rPr>
      </w:pPr>
      <w:r>
        <w:rPr>
          <w:rFonts w:ascii="Arial" w:cs="Arial" w:eastAsia="Arial" w:hAnsi="Arial"/>
          <w:sz w:val="18"/>
          <w:szCs w:val="18"/>
          <w:color w:val="auto"/>
        </w:rPr>
        <w:t>Breakthrough Therapy designation granted by FDA</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Avexitide in Post-Bariatric Hypoglycemia (PBH) Program</w:t>
      </w:r>
    </w:p>
    <w:p>
      <w:pPr>
        <w:spacing w:after="0" w:line="131" w:lineRule="exact"/>
        <w:rPr>
          <w:sz w:val="20"/>
          <w:szCs w:val="20"/>
          <w:color w:val="auto"/>
        </w:rPr>
      </w:pPr>
    </w:p>
    <w:p>
      <w:pPr>
        <w:ind w:left="440" w:hanging="328"/>
        <w:spacing w:after="0"/>
        <w:tabs>
          <w:tab w:leader="none" w:pos="440" w:val="left"/>
        </w:tabs>
        <w:numPr>
          <w:ilvl w:val="0"/>
          <w:numId w:val="8"/>
        </w:numPr>
        <w:rPr>
          <w:rFonts w:ascii="Arial" w:cs="Arial" w:eastAsia="Arial" w:hAnsi="Arial"/>
          <w:sz w:val="18"/>
          <w:szCs w:val="18"/>
          <w:color w:val="auto"/>
        </w:rPr>
      </w:pPr>
      <w:r>
        <w:rPr>
          <w:rFonts w:ascii="Arial" w:cs="Arial" w:eastAsia="Arial" w:hAnsi="Arial"/>
          <w:sz w:val="18"/>
          <w:szCs w:val="18"/>
          <w:i w:val="1"/>
          <w:iCs w:val="1"/>
          <w:color w:val="auto"/>
        </w:rPr>
        <w:t>Positive Phase 2 PREVENT 28-day study data (N=18)</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Corporate Activity</w:t>
      </w:r>
    </w:p>
    <w:p>
      <w:pPr>
        <w:spacing w:after="0" w:line="131" w:lineRule="exact"/>
        <w:rPr>
          <w:sz w:val="20"/>
          <w:szCs w:val="20"/>
          <w:color w:val="auto"/>
        </w:rPr>
      </w:pPr>
    </w:p>
    <w:p>
      <w:pPr>
        <w:ind w:left="440" w:hanging="328"/>
        <w:spacing w:after="0"/>
        <w:tabs>
          <w:tab w:leader="none" w:pos="440" w:val="left"/>
        </w:tabs>
        <w:numPr>
          <w:ilvl w:val="0"/>
          <w:numId w:val="9"/>
        </w:numPr>
        <w:rPr>
          <w:rFonts w:ascii="Arial" w:cs="Arial" w:eastAsia="Arial" w:hAnsi="Arial"/>
          <w:sz w:val="18"/>
          <w:szCs w:val="18"/>
          <w:color w:val="auto"/>
        </w:rPr>
      </w:pPr>
      <w:r>
        <w:rPr>
          <w:rFonts w:ascii="Arial" w:cs="Arial" w:eastAsia="Arial" w:hAnsi="Arial"/>
          <w:sz w:val="18"/>
          <w:szCs w:val="18"/>
          <w:i w:val="1"/>
          <w:iCs w:val="1"/>
          <w:color w:val="auto"/>
        </w:rPr>
        <w:t>Sri Ryali, MBA, appointed Eiger Chief Financial Officer</w:t>
      </w:r>
    </w:p>
    <w:p>
      <w:pPr>
        <w:sectPr>
          <w:pgSz w:w="11900" w:h="16838" w:orient="portrait"/>
          <w:cols w:equalWidth="0" w:num="1">
            <w:col w:w="11020"/>
          </w:cols>
          <w:pgMar w:left="440" w:top="121" w:right="439" w:bottom="1440" w:gutter="0" w:footer="0" w:header="0"/>
        </w:sectPr>
      </w:pPr>
    </w:p>
    <w:bookmarkStart w:id="4" w:name="page5"/>
    <w:bookmarkEnd w:id="4"/>
    <w:p>
      <w:pPr>
        <w:ind w:left="440" w:hanging="328"/>
        <w:spacing w:after="0"/>
        <w:tabs>
          <w:tab w:leader="none" w:pos="440" w:val="left"/>
        </w:tabs>
        <w:numPr>
          <w:ilvl w:val="0"/>
          <w:numId w:val="10"/>
        </w:numPr>
        <w:rPr>
          <w:rFonts w:ascii="Arial" w:cs="Arial" w:eastAsia="Arial" w:hAnsi="Arial"/>
          <w:sz w:val="16"/>
          <w:szCs w:val="16"/>
          <w:color w:val="auto"/>
        </w:rPr>
      </w:pPr>
      <w:r>
        <w:rPr>
          <w:rFonts w:ascii="Arial" w:cs="Arial" w:eastAsia="Arial" w:hAnsi="Arial"/>
          <w:sz w:val="16"/>
          <w:szCs w:val="16"/>
          <w:i w:val="1"/>
          <w:i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Stephana Patton, PhD, JD, pharma industry veteran, appointed Eiger as General Counsel, Corporate Secretary and Chief Compliance Officer</w:t>
      </w:r>
    </w:p>
    <w:p>
      <w:pPr>
        <w:spacing w:after="0" w:line="153" w:lineRule="exact"/>
        <w:rPr>
          <w:rFonts w:ascii="Arial" w:cs="Arial" w:eastAsia="Arial" w:hAnsi="Arial"/>
          <w:sz w:val="16"/>
          <w:szCs w:val="16"/>
          <w:color w:val="auto"/>
        </w:rPr>
      </w:pPr>
    </w:p>
    <w:p>
      <w:pPr>
        <w:ind w:left="440" w:right="440" w:hanging="328"/>
        <w:spacing w:after="0" w:line="277" w:lineRule="auto"/>
        <w:tabs>
          <w:tab w:leader="none" w:pos="440" w:val="left"/>
        </w:tabs>
        <w:numPr>
          <w:ilvl w:val="0"/>
          <w:numId w:val="10"/>
        </w:numPr>
        <w:rPr>
          <w:rFonts w:ascii="Arial" w:cs="Arial" w:eastAsia="Arial" w:hAnsi="Arial"/>
          <w:sz w:val="18"/>
          <w:szCs w:val="18"/>
          <w:color w:val="auto"/>
        </w:rPr>
      </w:pPr>
      <w:r>
        <w:rPr>
          <w:rFonts w:ascii="Arial" w:cs="Arial" w:eastAsia="Arial" w:hAnsi="Arial"/>
          <w:sz w:val="18"/>
          <w:szCs w:val="18"/>
          <w:i w:val="1"/>
          <w:iCs w:val="1"/>
          <w:color w:val="auto"/>
        </w:rPr>
        <w:t>Christine Murray, MS, RAC, industry veteran and Senior Vice President of Global Regulatory Affairs at Ultragenyx Pharmaceutical, Inc., appointed to Board</w:t>
      </w:r>
    </w:p>
    <w:p>
      <w:pPr>
        <w:spacing w:after="0" w:line="75" w:lineRule="exact"/>
        <w:rPr>
          <w:rFonts w:ascii="Arial" w:cs="Arial" w:eastAsia="Arial" w:hAnsi="Arial"/>
          <w:sz w:val="18"/>
          <w:szCs w:val="18"/>
          <w:color w:val="auto"/>
        </w:rPr>
      </w:pPr>
    </w:p>
    <w:p>
      <w:pPr>
        <w:ind w:left="440" w:hanging="328"/>
        <w:spacing w:after="0"/>
        <w:tabs>
          <w:tab w:leader="none" w:pos="440" w:val="left"/>
        </w:tabs>
        <w:numPr>
          <w:ilvl w:val="0"/>
          <w:numId w:val="10"/>
        </w:numPr>
        <w:rPr>
          <w:rFonts w:ascii="Arial" w:cs="Arial" w:eastAsia="Arial" w:hAnsi="Arial"/>
          <w:sz w:val="18"/>
          <w:szCs w:val="18"/>
          <w:color w:val="auto"/>
        </w:rPr>
      </w:pPr>
      <w:r>
        <w:rPr>
          <w:rFonts w:ascii="Arial" w:cs="Arial" w:eastAsia="Arial" w:hAnsi="Arial"/>
          <w:sz w:val="18"/>
          <w:szCs w:val="18"/>
          <w:i w:val="1"/>
          <w:iCs w:val="1"/>
          <w:color w:val="auto"/>
        </w:rPr>
        <w:t>R&amp;D Day held on December 11, 2018 in NYC</w:t>
      </w:r>
    </w:p>
    <w:p>
      <w:pPr>
        <w:spacing w:after="0" w:line="130" w:lineRule="exact"/>
        <w:rPr>
          <w:rFonts w:ascii="Arial" w:cs="Arial" w:eastAsia="Arial" w:hAnsi="Arial"/>
          <w:sz w:val="18"/>
          <w:szCs w:val="18"/>
          <w:color w:val="auto"/>
        </w:rPr>
      </w:pPr>
    </w:p>
    <w:p>
      <w:pPr>
        <w:ind w:left="440" w:hanging="328"/>
        <w:spacing w:after="0"/>
        <w:tabs>
          <w:tab w:leader="none" w:pos="440" w:val="left"/>
        </w:tabs>
        <w:numPr>
          <w:ilvl w:val="0"/>
          <w:numId w:val="10"/>
        </w:numPr>
        <w:rPr>
          <w:rFonts w:ascii="Arial" w:cs="Arial" w:eastAsia="Arial" w:hAnsi="Arial"/>
          <w:sz w:val="18"/>
          <w:szCs w:val="18"/>
          <w:color w:val="auto"/>
        </w:rPr>
      </w:pPr>
      <w:r>
        <w:rPr>
          <w:rFonts w:ascii="Arial" w:cs="Arial" w:eastAsia="Arial" w:hAnsi="Arial"/>
          <w:sz w:val="18"/>
          <w:szCs w:val="18"/>
          <w:i w:val="1"/>
          <w:iCs w:val="1"/>
          <w:color w:val="auto"/>
        </w:rPr>
        <w:t>October underwritten public offering raised $47.7 million in net proceeds</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Anticipated 2019 Milestones</w:t>
      </w:r>
    </w:p>
    <w:p>
      <w:pPr>
        <w:spacing w:after="0" w:line="135" w:lineRule="exact"/>
        <w:rPr>
          <w:sz w:val="20"/>
          <w:szCs w:val="20"/>
          <w:color w:val="auto"/>
        </w:rPr>
      </w:pPr>
    </w:p>
    <w:p>
      <w:pPr>
        <w:ind w:left="440" w:hanging="328"/>
        <w:spacing w:after="0"/>
        <w:tabs>
          <w:tab w:leader="none" w:pos="440" w:val="left"/>
        </w:tabs>
        <w:numPr>
          <w:ilvl w:val="0"/>
          <w:numId w:val="11"/>
        </w:numPr>
        <w:rPr>
          <w:rFonts w:ascii="Arial" w:cs="Arial" w:eastAsia="Arial" w:hAnsi="Arial"/>
          <w:sz w:val="18"/>
          <w:szCs w:val="18"/>
          <w:color w:val="auto"/>
        </w:rPr>
      </w:pPr>
      <w:r>
        <w:rPr>
          <w:rFonts w:ascii="Arial" w:cs="Arial" w:eastAsia="Arial" w:hAnsi="Arial"/>
          <w:sz w:val="18"/>
          <w:szCs w:val="18"/>
          <w:i w:val="1"/>
          <w:iCs w:val="1"/>
          <w:color w:val="auto"/>
        </w:rPr>
        <w:t>Phase 3 D-LIVR study (N=400) complete enrollment in HDV planned by year-end</w:t>
      </w:r>
    </w:p>
    <w:p>
      <w:pPr>
        <w:spacing w:after="0" w:line="130" w:lineRule="exact"/>
        <w:rPr>
          <w:rFonts w:ascii="Arial" w:cs="Arial" w:eastAsia="Arial" w:hAnsi="Arial"/>
          <w:sz w:val="18"/>
          <w:szCs w:val="18"/>
          <w:color w:val="auto"/>
        </w:rPr>
      </w:pPr>
    </w:p>
    <w:p>
      <w:pPr>
        <w:ind w:left="440" w:hanging="328"/>
        <w:spacing w:after="0"/>
        <w:tabs>
          <w:tab w:leader="none" w:pos="440" w:val="left"/>
        </w:tabs>
        <w:numPr>
          <w:ilvl w:val="0"/>
          <w:numId w:val="11"/>
        </w:numPr>
        <w:rPr>
          <w:rFonts w:ascii="Arial" w:cs="Arial" w:eastAsia="Arial" w:hAnsi="Arial"/>
          <w:sz w:val="18"/>
          <w:szCs w:val="18"/>
          <w:color w:val="auto"/>
        </w:rPr>
      </w:pPr>
      <w:r>
        <w:rPr>
          <w:rFonts w:ascii="Arial" w:cs="Arial" w:eastAsia="Arial" w:hAnsi="Arial"/>
          <w:sz w:val="18"/>
          <w:szCs w:val="18"/>
          <w:i w:val="1"/>
          <w:iCs w:val="1"/>
          <w:color w:val="auto"/>
        </w:rPr>
        <w:t>Phase 2 LIMT end-of-study study results in HDV oral presentation at EASL</w:t>
      </w:r>
    </w:p>
    <w:p>
      <w:pPr>
        <w:spacing w:after="0" w:line="130" w:lineRule="exact"/>
        <w:rPr>
          <w:rFonts w:ascii="Arial" w:cs="Arial" w:eastAsia="Arial" w:hAnsi="Arial"/>
          <w:sz w:val="18"/>
          <w:szCs w:val="18"/>
          <w:color w:val="auto"/>
        </w:rPr>
      </w:pPr>
    </w:p>
    <w:p>
      <w:pPr>
        <w:ind w:left="440" w:hanging="328"/>
        <w:spacing w:after="0"/>
        <w:tabs>
          <w:tab w:leader="none" w:pos="440" w:val="left"/>
        </w:tabs>
        <w:numPr>
          <w:ilvl w:val="0"/>
          <w:numId w:val="11"/>
        </w:numPr>
        <w:rPr>
          <w:rFonts w:ascii="Arial" w:cs="Arial" w:eastAsia="Arial" w:hAnsi="Arial"/>
          <w:sz w:val="18"/>
          <w:szCs w:val="18"/>
          <w:color w:val="auto"/>
        </w:rPr>
      </w:pPr>
      <w:r>
        <w:rPr>
          <w:rFonts w:ascii="Arial" w:cs="Arial" w:eastAsia="Arial" w:hAnsi="Arial"/>
          <w:sz w:val="18"/>
          <w:szCs w:val="18"/>
          <w:i w:val="1"/>
          <w:iCs w:val="1"/>
          <w:color w:val="auto"/>
        </w:rPr>
        <w:t>Phase 2 LIFT end-of-treatment study results in HDV planned at AASLD</w:t>
      </w:r>
    </w:p>
    <w:p>
      <w:pPr>
        <w:spacing w:after="0" w:line="130" w:lineRule="exact"/>
        <w:rPr>
          <w:rFonts w:ascii="Arial" w:cs="Arial" w:eastAsia="Arial" w:hAnsi="Arial"/>
          <w:sz w:val="18"/>
          <w:szCs w:val="18"/>
          <w:color w:val="auto"/>
        </w:rPr>
      </w:pPr>
    </w:p>
    <w:p>
      <w:pPr>
        <w:ind w:left="440" w:hanging="328"/>
        <w:spacing w:after="0"/>
        <w:tabs>
          <w:tab w:leader="none" w:pos="440" w:val="left"/>
        </w:tabs>
        <w:numPr>
          <w:ilvl w:val="0"/>
          <w:numId w:val="11"/>
        </w:numPr>
        <w:rPr>
          <w:rFonts w:ascii="Arial" w:cs="Arial" w:eastAsia="Arial" w:hAnsi="Arial"/>
          <w:sz w:val="18"/>
          <w:szCs w:val="18"/>
          <w:color w:val="auto"/>
        </w:rPr>
      </w:pPr>
      <w:r>
        <w:rPr>
          <w:rFonts w:ascii="Arial" w:cs="Arial" w:eastAsia="Arial" w:hAnsi="Arial"/>
          <w:sz w:val="18"/>
          <w:szCs w:val="18"/>
          <w:i w:val="1"/>
          <w:iCs w:val="1"/>
          <w:color w:val="auto"/>
        </w:rPr>
        <w:t>NDA and MAA filings in Progeria and Progeroid Laminopathies planned</w:t>
      </w:r>
    </w:p>
    <w:p>
      <w:pPr>
        <w:spacing w:after="0" w:line="130" w:lineRule="exact"/>
        <w:rPr>
          <w:rFonts w:ascii="Arial" w:cs="Arial" w:eastAsia="Arial" w:hAnsi="Arial"/>
          <w:sz w:val="18"/>
          <w:szCs w:val="18"/>
          <w:color w:val="auto"/>
        </w:rPr>
      </w:pPr>
    </w:p>
    <w:p>
      <w:pPr>
        <w:ind w:left="440" w:hanging="328"/>
        <w:spacing w:after="0"/>
        <w:tabs>
          <w:tab w:leader="none" w:pos="440" w:val="left"/>
        </w:tabs>
        <w:numPr>
          <w:ilvl w:val="0"/>
          <w:numId w:val="11"/>
        </w:numPr>
        <w:rPr>
          <w:rFonts w:ascii="Arial" w:cs="Arial" w:eastAsia="Arial" w:hAnsi="Arial"/>
          <w:sz w:val="18"/>
          <w:szCs w:val="18"/>
          <w:color w:val="auto"/>
        </w:rPr>
      </w:pPr>
      <w:r>
        <w:rPr>
          <w:rFonts w:ascii="Arial" w:cs="Arial" w:eastAsia="Arial" w:hAnsi="Arial"/>
          <w:sz w:val="18"/>
          <w:szCs w:val="18"/>
          <w:i w:val="1"/>
          <w:iCs w:val="1"/>
          <w:color w:val="auto"/>
        </w:rPr>
        <w:t>Phase 2 PREVENT end-of-study results in PBH oral presentation at ENDO</w:t>
      </w:r>
    </w:p>
    <w:p>
      <w:pPr>
        <w:spacing w:after="0" w:line="130" w:lineRule="exact"/>
        <w:rPr>
          <w:rFonts w:ascii="Arial" w:cs="Arial" w:eastAsia="Arial" w:hAnsi="Arial"/>
          <w:sz w:val="18"/>
          <w:szCs w:val="18"/>
          <w:color w:val="auto"/>
        </w:rPr>
      </w:pPr>
    </w:p>
    <w:p>
      <w:pPr>
        <w:ind w:left="440" w:hanging="328"/>
        <w:spacing w:after="0"/>
        <w:tabs>
          <w:tab w:leader="none" w:pos="440" w:val="left"/>
        </w:tabs>
        <w:numPr>
          <w:ilvl w:val="0"/>
          <w:numId w:val="11"/>
        </w:numPr>
        <w:rPr>
          <w:rFonts w:ascii="Arial" w:cs="Arial" w:eastAsia="Arial" w:hAnsi="Arial"/>
          <w:sz w:val="18"/>
          <w:szCs w:val="18"/>
          <w:color w:val="auto"/>
        </w:rPr>
      </w:pPr>
      <w:r>
        <w:rPr>
          <w:rFonts w:ascii="Arial" w:cs="Arial" w:eastAsia="Arial" w:hAnsi="Arial"/>
          <w:sz w:val="18"/>
          <w:szCs w:val="18"/>
          <w:i w:val="1"/>
          <w:iCs w:val="1"/>
          <w:color w:val="auto"/>
        </w:rPr>
        <w:t>End of Phase 2 meeting for avexitide in PBH with regulators planned</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Fourth Quarter and Full Year 2018 Financial Results</w:t>
      </w:r>
    </w:p>
    <w:p>
      <w:pPr>
        <w:spacing w:after="0" w:line="121"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Cash, cash equivalents, and short-term investments as of December 31, 2018 totaled $100.4 million compared to $41.8 million at December 31, 2017, an increase of $58.6 million.</w:t>
      </w:r>
    </w:p>
    <w:p>
      <w:pPr>
        <w:spacing w:after="0" w:line="170" w:lineRule="exact"/>
        <w:rPr>
          <w:sz w:val="20"/>
          <w:szCs w:val="20"/>
          <w:color w:val="auto"/>
        </w:rPr>
      </w:pPr>
    </w:p>
    <w:p>
      <w:pPr>
        <w:ind w:right="40"/>
        <w:spacing w:after="0" w:line="308" w:lineRule="auto"/>
        <w:rPr>
          <w:sz w:val="20"/>
          <w:szCs w:val="20"/>
          <w:color w:val="auto"/>
        </w:rPr>
      </w:pPr>
      <w:r>
        <w:rPr>
          <w:rFonts w:ascii="Arial" w:cs="Arial" w:eastAsia="Arial" w:hAnsi="Arial"/>
          <w:sz w:val="17"/>
          <w:szCs w:val="17"/>
          <w:color w:val="auto"/>
        </w:rPr>
        <w:t>The Company reported net losses of $16.5 million, or $0.92 per share, and $52.4 million, or $3.82 per share, for the fourth quarter and full year 2018, respectively, as compared to $10.9 million, or $1.11 per share, and $42.4 million, or $4.86 per share, for the same periods in 2017.</w:t>
      </w:r>
    </w:p>
    <w:p>
      <w:pPr>
        <w:spacing w:after="0" w:line="147" w:lineRule="exact"/>
        <w:rPr>
          <w:sz w:val="20"/>
          <w:szCs w:val="20"/>
          <w:color w:val="auto"/>
        </w:rPr>
      </w:pPr>
    </w:p>
    <w:p>
      <w:pPr>
        <w:spacing w:after="0"/>
        <w:rPr>
          <w:sz w:val="20"/>
          <w:szCs w:val="20"/>
          <w:color w:val="auto"/>
        </w:rPr>
      </w:pPr>
      <w:r>
        <w:rPr>
          <w:rFonts w:ascii="Arial" w:cs="Arial" w:eastAsia="Arial" w:hAnsi="Arial"/>
          <w:sz w:val="16"/>
          <w:szCs w:val="16"/>
          <w:color w:val="auto"/>
        </w:rPr>
        <w:t>Research and Development expenses were $12.0 million and $37.1 million for the fourth quarter and full year 2018, respectively, as compared to</w:t>
      </w:r>
    </w:p>
    <w:p>
      <w:pPr>
        <w:spacing w:after="0" w:line="46" w:lineRule="exact"/>
        <w:rPr>
          <w:sz w:val="20"/>
          <w:szCs w:val="20"/>
          <w:color w:val="auto"/>
        </w:rPr>
      </w:pPr>
    </w:p>
    <w:p>
      <w:pPr>
        <w:ind w:right="60"/>
        <w:spacing w:after="0" w:line="261" w:lineRule="auto"/>
        <w:rPr>
          <w:sz w:val="20"/>
          <w:szCs w:val="20"/>
          <w:color w:val="auto"/>
        </w:rPr>
      </w:pPr>
      <w:r>
        <w:rPr>
          <w:rFonts w:ascii="Arial" w:cs="Arial" w:eastAsia="Arial" w:hAnsi="Arial"/>
          <w:sz w:val="18"/>
          <w:szCs w:val="18"/>
          <w:color w:val="auto"/>
        </w:rPr>
        <w:t>$7.8 million and $29.5 million for the same periods in 2017. The increases in fourth quarter and full year 2018 were primarily due to costs associated with clinical programs, including drug supply costs.</w:t>
      </w:r>
    </w:p>
    <w:p>
      <w:pPr>
        <w:spacing w:after="0" w:line="184" w:lineRule="exact"/>
        <w:rPr>
          <w:sz w:val="20"/>
          <w:szCs w:val="20"/>
          <w:color w:val="auto"/>
        </w:rPr>
      </w:pPr>
    </w:p>
    <w:p>
      <w:pPr>
        <w:jc w:val="both"/>
        <w:ind w:right="360"/>
        <w:spacing w:after="0" w:line="264" w:lineRule="auto"/>
        <w:rPr>
          <w:sz w:val="20"/>
          <w:szCs w:val="20"/>
          <w:color w:val="auto"/>
        </w:rPr>
      </w:pPr>
      <w:r>
        <w:rPr>
          <w:rFonts w:ascii="Arial" w:cs="Arial" w:eastAsia="Arial" w:hAnsi="Arial"/>
          <w:sz w:val="18"/>
          <w:szCs w:val="18"/>
          <w:color w:val="auto"/>
        </w:rPr>
        <w:t>General and Administrative expenses were $4.1 million and $14.0 million for the fourth quarter and full year 2018, respectively, as compared to $2.8 million and $12.0 million for the same periods in 2017. The increases in fourth quarter and full year 2018 were primarily due to increases in employee-related costs, including stock-based compensation, from increased headcount.</w:t>
      </w:r>
    </w:p>
    <w:p>
      <w:pPr>
        <w:spacing w:after="0" w:line="181"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color w:val="auto"/>
        </w:rPr>
        <w:t>Total operating expenses include total non-cash expenses of $1.6 million and $5.7 million for the fourth quarter and full year 2018, respectively, as compared to $1.1 million and $4.4 million for the same periods in 2017.</w:t>
      </w:r>
    </w:p>
    <w:p>
      <w:pPr>
        <w:sectPr>
          <w:pgSz w:w="11900" w:h="16838" w:orient="portrait"/>
          <w:cols w:equalWidth="0" w:num="1">
            <w:col w:w="10820"/>
          </w:cols>
          <w:pgMar w:left="440" w:top="274" w:right="639" w:bottom="1440" w:gutter="0" w:footer="0" w:header="0"/>
        </w:sectPr>
      </w:pPr>
    </w:p>
    <w:bookmarkStart w:id="5" w:name="page6"/>
    <w:bookmarkEnd w:id="5"/>
    <w:p>
      <w:pPr>
        <w:ind w:right="360"/>
        <w:spacing w:after="0" w:line="286"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In October, 2018, Eiger announced the closing of its underwritten public offering of 4,830,918 shares of its common stock at a price to the public of $10.35 per share. The offering was made under Eiger’s effective shelf registration statement and resulted in net proceeds to the company of approximately $47.7 million, after deducting underwriting discounts and commissions and offering expenses.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color w:val="auto"/>
        </w:rPr>
        <w:t>As of December 31, 2018, the company had 19.2 million of common shares outstanding.</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Eiger</w:t>
      </w:r>
    </w:p>
    <w:p>
      <w:pPr>
        <w:spacing w:after="0" w:line="121" w:lineRule="exact"/>
        <w:rPr>
          <w:sz w:val="20"/>
          <w:szCs w:val="20"/>
          <w:color w:val="auto"/>
        </w:rPr>
      </w:pPr>
    </w:p>
    <w:p>
      <w:pPr>
        <w:ind w:right="60"/>
        <w:spacing w:after="0" w:line="273" w:lineRule="auto"/>
        <w:rPr>
          <w:sz w:val="20"/>
          <w:szCs w:val="20"/>
          <w:color w:val="auto"/>
        </w:rPr>
      </w:pPr>
      <w:r>
        <w:rPr>
          <w:rFonts w:ascii="Arial" w:cs="Arial" w:eastAsia="Arial" w:hAnsi="Arial"/>
          <w:sz w:val="17"/>
          <w:szCs w:val="17"/>
          <w:color w:val="auto"/>
        </w:rPr>
        <w:t xml:space="preserve">Eiger is a late stage biopharmaceutical company focused on the development and commercialization of targeted therapies for serious rare and ultra-rare diseases. We innovate by developing well-characterized drugs in newly identified or novel targets in rare diseases. Our mission is to systematically reduce the time and cost of the drug development process to more rapidly deliver important medicines to patients. The company’s lead program is in Phase 3, developing lonafarnib, a first-in-class prenylation inhibitor for the treatment of Hepatitis Delta Virus (HDV) infection. Eiger is also preparing an NDA and MAA for lonafarnib to treat Hutchinson-Gilford Progeria Syndrome (HGPS or Progeria) and Progeroid Laminopathies with plans to file in 2019. For additional information about Eiger and its clinical programs, please visit </w:t>
      </w:r>
      <w:r>
        <w:rPr>
          <w:rFonts w:ascii="Arial" w:cs="Arial" w:eastAsia="Arial" w:hAnsi="Arial"/>
          <w:sz w:val="17"/>
          <w:szCs w:val="17"/>
          <w:u w:val="single" w:color="auto"/>
          <w:color w:val="auto"/>
        </w:rPr>
        <w:t>www.eigerbio.com</w:t>
      </w:r>
      <w:r>
        <w:rPr>
          <w:rFonts w:ascii="Arial" w:cs="Arial" w:eastAsia="Arial" w:hAnsi="Arial"/>
          <w:sz w:val="17"/>
          <w:szCs w:val="17"/>
          <w:color w:val="auto"/>
        </w:rPr>
        <w:t>.</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Regarding Forward-Looking Statements</w:t>
      </w:r>
    </w:p>
    <w:p>
      <w:pPr>
        <w:spacing w:after="0" w:line="121" w:lineRule="exact"/>
        <w:rPr>
          <w:sz w:val="20"/>
          <w:szCs w:val="20"/>
          <w:color w:val="auto"/>
        </w:rPr>
      </w:pPr>
    </w:p>
    <w:p>
      <w:pPr>
        <w:spacing w:after="0" w:line="289" w:lineRule="auto"/>
        <w:rPr>
          <w:sz w:val="20"/>
          <w:szCs w:val="20"/>
          <w:color w:val="auto"/>
        </w:rPr>
      </w:pPr>
      <w:r>
        <w:rPr>
          <w:rFonts w:ascii="Arial" w:cs="Arial" w:eastAsia="Arial" w:hAnsi="Arial"/>
          <w:sz w:val="16"/>
          <w:szCs w:val="16"/>
          <w:color w:val="auto"/>
        </w:rPr>
        <w:t>This press release contains “forward-looking” statements that involve substantial risks and uncertainties. All statements other than statements of historical facts, including statements regarding our future financial condition, timing for and outcomes of clinical results, business strategy and plans and objectives for future operations, are forward looking statements. These forward-looking statements include terminology such as “believe,” “will,” “may,” “estimate,” “continue,” “anticipate,” “contemplate,” “intend,” “target,” “project,” “should,” “plan,” “expect,” “predict,” “could,” “potentially” or the negative of these terms. Forward looking statements are our current statements regarding our intentions, beliefs, projections, outlook, analyses or current expectations concerning, among other things, our ongoing and planned clinical development, including plans to complete enrollment of our D-LIVR study by the end of 2019, submit an NDA and MAA for Progeria and progeroid laminopathies in 2019, timing of end of treatment data in our LIFT study and progress our Phase 3 study in HDV; our ability to transition into a commercial stage biopharmaceutical company; our ability to finance the continued advancement of our development pipeline products; and the potential for success of any of our product candidates.</w:t>
      </w:r>
    </w:p>
    <w:p>
      <w:pPr>
        <w:spacing w:after="0" w:line="167" w:lineRule="exact"/>
        <w:rPr>
          <w:sz w:val="20"/>
          <w:szCs w:val="20"/>
          <w:color w:val="auto"/>
        </w:rPr>
      </w:pPr>
    </w:p>
    <w:p>
      <w:pPr>
        <w:ind w:right="120"/>
        <w:spacing w:after="0" w:line="259" w:lineRule="auto"/>
        <w:rPr>
          <w:sz w:val="20"/>
          <w:szCs w:val="20"/>
          <w:color w:val="auto"/>
        </w:rPr>
      </w:pPr>
      <w:r>
        <w:rPr>
          <w:rFonts w:ascii="Arial" w:cs="Arial" w:eastAsia="Arial" w:hAnsi="Arial"/>
          <w:sz w:val="18"/>
          <w:szCs w:val="18"/>
          <w:color w:val="auto"/>
        </w:rPr>
        <w:t>Various important factors could cause actual results or events to differ materially from the forward-looking statements that Eiger makes, including the risks described in the “Risk Factors” sections in the Annual Report on Form 10-K for the year ended December 31, 2018 to be filed on March 14, 2019 and Eiger’s periodic reports filed with the SEC. Eiger does not assume any obligation to update any forward-looking statements, except as required by law.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144780</wp:posOffset>
            </wp:positionV>
            <wp:extent cx="1929765" cy="5657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929765" cy="5657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color w:val="auto"/>
        </w:rPr>
        <w:t>SOURCE Eiger BioPharmaceuticals, Inc.</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color w:val="auto"/>
        </w:rPr>
        <w:t>Investors: Ingrid Choong, PhD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Email: </w:t>
      </w:r>
      <w:r>
        <w:rPr>
          <w:rFonts w:ascii="Arial" w:cs="Arial" w:eastAsia="Arial" w:hAnsi="Arial"/>
          <w:sz w:val="18"/>
          <w:szCs w:val="18"/>
          <w:u w:val="single" w:color="auto"/>
          <w:color w:val="auto"/>
        </w:rPr>
        <w:t>ichoong@eigerbio.com</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Phone: 1-650-619-6115</w:t>
      </w:r>
    </w:p>
    <w:p>
      <w:pPr>
        <w:spacing w:after="0" w:line="103" w:lineRule="exact"/>
        <w:rPr>
          <w:sz w:val="20"/>
          <w:szCs w:val="20"/>
          <w:color w:val="auto"/>
        </w:rPr>
      </w:pPr>
    </w:p>
    <w:p>
      <w:pPr>
        <w:spacing w:after="0"/>
        <w:rPr>
          <w:sz w:val="20"/>
          <w:szCs w:val="20"/>
          <w:color w:val="auto"/>
        </w:rPr>
      </w:pPr>
      <w:r>
        <w:rPr>
          <w:rFonts w:ascii="Arial" w:cs="Arial" w:eastAsia="Arial" w:hAnsi="Arial"/>
          <w:sz w:val="18"/>
          <w:szCs w:val="18"/>
          <w:color w:val="auto"/>
        </w:rPr>
        <w:t>Sriram Ryali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Email: </w:t>
      </w:r>
      <w:r>
        <w:rPr>
          <w:rFonts w:ascii="Arial" w:cs="Arial" w:eastAsia="Arial" w:hAnsi="Arial"/>
          <w:sz w:val="18"/>
          <w:szCs w:val="18"/>
          <w:u w:val="single" w:color="auto"/>
          <w:color w:val="auto"/>
        </w:rPr>
        <w:t>sryali@eigerbio.com</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Phone: 1-650-272-6138</w:t>
      </w:r>
    </w:p>
    <w:p>
      <w:pPr>
        <w:sectPr>
          <w:pgSz w:w="11900" w:h="16838" w:orient="portrait"/>
          <w:cols w:equalWidth="0" w:num="1">
            <w:col w:w="11020"/>
          </w:cols>
          <w:pgMar w:left="440" w:top="274" w:right="439" w:bottom="1440" w:gutter="0" w:footer="0" w:header="0"/>
        </w:sectPr>
      </w:pPr>
    </w:p>
    <w:bookmarkStart w:id="6" w:name="page7"/>
    <w:bookmarkEnd w:id="6"/>
    <w:p>
      <w:pPr>
        <w:jc w:val="center"/>
        <w:ind w:right="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Eiger BioPharmaceuticals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Condensed Consolidated Balance Sheets</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(in thousands)</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64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520" w:type="dxa"/>
            <w:vAlign w:val="bottom"/>
            <w:gridSpan w:val="5"/>
          </w:tcPr>
          <w:p>
            <w:pPr>
              <w:jc w:val="center"/>
              <w:ind w:right="160"/>
              <w:spacing w:after="0"/>
              <w:rPr>
                <w:sz w:val="20"/>
                <w:szCs w:val="20"/>
                <w:color w:val="auto"/>
              </w:rPr>
            </w:pPr>
            <w:r>
              <w:rPr>
                <w:rFonts w:ascii="Arial" w:cs="Arial" w:eastAsia="Arial" w:hAnsi="Arial"/>
                <w:sz w:val="14"/>
                <w:szCs w:val="14"/>
                <w:b w:val="1"/>
                <w:bCs w:val="1"/>
                <w:color w:val="auto"/>
                <w:w w:val="93"/>
              </w:rPr>
              <w:t>Year Ended</w:t>
            </w:r>
          </w:p>
        </w:tc>
      </w:tr>
      <w:tr>
        <w:trPr>
          <w:trHeight w:val="171"/>
        </w:trPr>
        <w:tc>
          <w:tcPr>
            <w:tcW w:w="20" w:type="dxa"/>
            <w:vAlign w:val="bottom"/>
          </w:tcPr>
          <w:p>
            <w:pPr>
              <w:spacing w:after="0"/>
              <w:rPr>
                <w:sz w:val="14"/>
                <w:szCs w:val="14"/>
                <w:color w:val="auto"/>
              </w:rPr>
            </w:pPr>
          </w:p>
        </w:tc>
        <w:tc>
          <w:tcPr>
            <w:tcW w:w="664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520" w:type="dxa"/>
            <w:vAlign w:val="bottom"/>
            <w:gridSpan w:val="5"/>
          </w:tcPr>
          <w:p>
            <w:pPr>
              <w:jc w:val="center"/>
              <w:ind w:right="160"/>
              <w:spacing w:after="0"/>
              <w:rPr>
                <w:sz w:val="20"/>
                <w:szCs w:val="20"/>
                <w:color w:val="auto"/>
              </w:rPr>
            </w:pPr>
            <w:r>
              <w:rPr>
                <w:rFonts w:ascii="Arial" w:cs="Arial" w:eastAsia="Arial" w:hAnsi="Arial"/>
                <w:sz w:val="14"/>
                <w:szCs w:val="14"/>
                <w:b w:val="1"/>
                <w:bCs w:val="1"/>
                <w:color w:val="auto"/>
                <w:w w:val="92"/>
              </w:rPr>
              <w:t>December 31,</w:t>
            </w:r>
          </w:p>
        </w:tc>
      </w:tr>
      <w:tr>
        <w:trPr>
          <w:trHeight w:val="142"/>
        </w:trPr>
        <w:tc>
          <w:tcPr>
            <w:tcW w:w="20" w:type="dxa"/>
            <w:vAlign w:val="bottom"/>
          </w:tcPr>
          <w:p>
            <w:pPr>
              <w:spacing w:after="0"/>
              <w:rPr>
                <w:sz w:val="12"/>
                <w:szCs w:val="12"/>
                <w:color w:val="auto"/>
              </w:rPr>
            </w:pPr>
          </w:p>
        </w:tc>
        <w:tc>
          <w:tcPr>
            <w:tcW w:w="6640" w:type="dxa"/>
            <w:vAlign w:val="bottom"/>
          </w:tcPr>
          <w:p>
            <w:pPr>
              <w:spacing w:after="0"/>
              <w:rPr>
                <w:sz w:val="12"/>
                <w:szCs w:val="12"/>
                <w:color w:val="auto"/>
              </w:rPr>
            </w:pPr>
          </w:p>
        </w:tc>
        <w:tc>
          <w:tcPr>
            <w:tcW w:w="2760" w:type="dxa"/>
            <w:vAlign w:val="bottom"/>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600" w:type="dxa"/>
            <w:vAlign w:val="bottom"/>
            <w:tcBorders>
              <w:top w:val="single" w:sz="8" w:color="auto"/>
            </w:tcBorders>
          </w:tcPr>
          <w:p>
            <w:pPr>
              <w:jc w:val="right"/>
              <w:ind w:right="54"/>
              <w:spacing w:after="0" w:line="142" w:lineRule="exact"/>
              <w:rPr>
                <w:sz w:val="20"/>
                <w:szCs w:val="20"/>
                <w:color w:val="auto"/>
              </w:rPr>
            </w:pPr>
            <w:r>
              <w:rPr>
                <w:rFonts w:ascii="Arial" w:cs="Arial" w:eastAsia="Arial" w:hAnsi="Arial"/>
                <w:sz w:val="14"/>
                <w:szCs w:val="14"/>
                <w:b w:val="1"/>
                <w:bCs w:val="1"/>
                <w:color w:val="auto"/>
                <w:w w:val="95"/>
              </w:rPr>
              <w:t>2018</w:t>
            </w:r>
            <w:r>
              <w:rPr>
                <w:rFonts w:ascii="Arial" w:cs="Arial" w:eastAsia="Arial" w:hAnsi="Arial"/>
                <w:sz w:val="12"/>
                <w:szCs w:val="12"/>
                <w:b w:val="1"/>
                <w:bCs w:val="1"/>
                <w:color w:val="auto"/>
                <w:w w:val="95"/>
              </w:rPr>
              <w:t>(1)</w:t>
            </w:r>
          </w:p>
        </w:tc>
        <w:tc>
          <w:tcPr>
            <w:tcW w:w="860" w:type="dxa"/>
            <w:vAlign w:val="bottom"/>
            <w:tcBorders>
              <w:top w:val="single" w:sz="8" w:color="auto"/>
            </w:tcBorders>
            <w:gridSpan w:val="3"/>
          </w:tcPr>
          <w:p>
            <w:pPr>
              <w:jc w:val="right"/>
              <w:ind w:right="10"/>
              <w:spacing w:after="0" w:line="142" w:lineRule="exact"/>
              <w:rPr>
                <w:sz w:val="20"/>
                <w:szCs w:val="20"/>
                <w:color w:val="auto"/>
              </w:rPr>
            </w:pPr>
            <w:r>
              <w:rPr>
                <w:rFonts w:ascii="Arial" w:cs="Arial" w:eastAsia="Arial" w:hAnsi="Arial"/>
                <w:sz w:val="14"/>
                <w:szCs w:val="14"/>
                <w:b w:val="1"/>
                <w:bCs w:val="1"/>
                <w:color w:val="auto"/>
              </w:rPr>
              <w:t>2017</w:t>
            </w:r>
            <w:r>
              <w:rPr>
                <w:rFonts w:ascii="Arial" w:cs="Arial" w:eastAsia="Arial" w:hAnsi="Arial"/>
                <w:sz w:val="12"/>
                <w:szCs w:val="12"/>
                <w:b w:val="1"/>
                <w:bCs w:val="1"/>
                <w:color w:val="auto"/>
              </w:rPr>
              <w:t>(1)</w:t>
            </w:r>
          </w:p>
        </w:tc>
        <w:tc>
          <w:tcPr>
            <w:tcW w:w="60" w:type="dxa"/>
            <w:vAlign w:val="bottom"/>
          </w:tcPr>
          <w:p>
            <w:pPr>
              <w:spacing w:after="0"/>
              <w:rPr>
                <w:sz w:val="12"/>
                <w:szCs w:val="12"/>
                <w:color w:val="auto"/>
              </w:rPr>
            </w:pPr>
          </w:p>
        </w:tc>
      </w:tr>
      <w:tr>
        <w:trPr>
          <w:trHeight w:val="196"/>
        </w:trPr>
        <w:tc>
          <w:tcPr>
            <w:tcW w:w="20" w:type="dxa"/>
            <w:vAlign w:val="bottom"/>
          </w:tcPr>
          <w:p>
            <w:pPr>
              <w:spacing w:after="0"/>
              <w:rPr>
                <w:sz w:val="17"/>
                <w:szCs w:val="17"/>
                <w:color w:val="auto"/>
              </w:rPr>
            </w:pPr>
          </w:p>
        </w:tc>
        <w:tc>
          <w:tcPr>
            <w:tcW w:w="6640" w:type="dxa"/>
            <w:vAlign w:val="bottom"/>
            <w:tcBorders>
              <w:top w:val="single" w:sz="8" w:color="CCEEFF"/>
            </w:tcBorders>
            <w:shd w:val="clear" w:color="auto" w:fill="CCEEFF"/>
          </w:tcPr>
          <w:p>
            <w:pPr>
              <w:spacing w:after="0" w:line="196" w:lineRule="exact"/>
              <w:rPr>
                <w:sz w:val="20"/>
                <w:szCs w:val="20"/>
                <w:color w:val="auto"/>
              </w:rPr>
            </w:pPr>
            <w:r>
              <w:rPr>
                <w:rFonts w:ascii="Arial" w:cs="Arial" w:eastAsia="Arial" w:hAnsi="Arial"/>
                <w:sz w:val="18"/>
                <w:szCs w:val="18"/>
                <w:b w:val="1"/>
                <w:bCs w:val="1"/>
                <w:color w:val="auto"/>
              </w:rPr>
              <w:t>ASSETS</w:t>
            </w:r>
          </w:p>
        </w:tc>
        <w:tc>
          <w:tcPr>
            <w:tcW w:w="276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600" w:type="dxa"/>
            <w:vAlign w:val="bottom"/>
            <w:tcBorders>
              <w:top w:val="single" w:sz="8" w:color="auto"/>
            </w:tcBorders>
            <w:shd w:val="clear" w:color="auto" w:fill="CCEEFF"/>
          </w:tcPr>
          <w:p>
            <w:pPr>
              <w:spacing w:after="0"/>
              <w:rPr>
                <w:sz w:val="17"/>
                <w:szCs w:val="17"/>
                <w:color w:val="auto"/>
              </w:rPr>
            </w:pPr>
          </w:p>
        </w:tc>
        <w:tc>
          <w:tcPr>
            <w:tcW w:w="26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500" w:type="dxa"/>
            <w:vAlign w:val="bottom"/>
            <w:tcBorders>
              <w:top w:val="single" w:sz="8" w:color="auto"/>
            </w:tcBorders>
            <w:shd w:val="clear" w:color="auto" w:fill="CCEEFF"/>
          </w:tcPr>
          <w:p>
            <w:pPr>
              <w:spacing w:after="0"/>
              <w:rPr>
                <w:sz w:val="17"/>
                <w:szCs w:val="17"/>
                <w:color w:val="auto"/>
              </w:rPr>
            </w:pPr>
          </w:p>
        </w:tc>
        <w:tc>
          <w:tcPr>
            <w:tcW w:w="60" w:type="dxa"/>
            <w:vAlign w:val="bottom"/>
            <w:tcBorders>
              <w:top w:val="single" w:sz="8" w:color="CCEEFF"/>
            </w:tcBorders>
            <w:shd w:val="clear" w:color="auto" w:fill="CCEEFF"/>
          </w:tcPr>
          <w:p>
            <w:pPr>
              <w:spacing w:after="0"/>
              <w:rPr>
                <w:sz w:val="17"/>
                <w:szCs w:val="17"/>
                <w:color w:val="auto"/>
              </w:rPr>
            </w:pPr>
          </w:p>
        </w:tc>
      </w:tr>
      <w:tr>
        <w:trPr>
          <w:trHeight w:val="216"/>
        </w:trPr>
        <w:tc>
          <w:tcPr>
            <w:tcW w:w="20" w:type="dxa"/>
            <w:vAlign w:val="bottom"/>
          </w:tcPr>
          <w:p>
            <w:pPr>
              <w:spacing w:after="0"/>
              <w:rPr>
                <w:sz w:val="18"/>
                <w:szCs w:val="18"/>
                <w:color w:val="auto"/>
              </w:rPr>
            </w:pPr>
          </w:p>
        </w:tc>
        <w:tc>
          <w:tcPr>
            <w:tcW w:w="6640" w:type="dxa"/>
            <w:vAlign w:val="bottom"/>
          </w:tcPr>
          <w:p>
            <w:pPr>
              <w:spacing w:after="0"/>
              <w:rPr>
                <w:sz w:val="20"/>
                <w:szCs w:val="20"/>
                <w:color w:val="auto"/>
              </w:rPr>
            </w:pPr>
            <w:r>
              <w:rPr>
                <w:rFonts w:ascii="Arial" w:cs="Arial" w:eastAsia="Arial" w:hAnsi="Arial"/>
                <w:sz w:val="18"/>
                <w:szCs w:val="18"/>
                <w:color w:val="auto"/>
              </w:rPr>
              <w:t>Cash and cash equivalents</w:t>
            </w:r>
          </w:p>
        </w:tc>
        <w:tc>
          <w:tcPr>
            <w:tcW w:w="28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61,262</w:t>
            </w: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00" w:type="dxa"/>
            <w:vAlign w:val="bottom"/>
          </w:tcPr>
          <w:p>
            <w:pPr>
              <w:jc w:val="right"/>
              <w:spacing w:after="0"/>
              <w:rPr>
                <w:sz w:val="20"/>
                <w:szCs w:val="20"/>
                <w:color w:val="auto"/>
              </w:rPr>
            </w:pPr>
            <w:r>
              <w:rPr>
                <w:rFonts w:ascii="Arial" w:cs="Arial" w:eastAsia="Arial" w:hAnsi="Arial"/>
                <w:sz w:val="18"/>
                <w:szCs w:val="18"/>
                <w:color w:val="auto"/>
                <w:w w:val="87"/>
              </w:rPr>
              <w:t>32,035</w:t>
            </w:r>
          </w:p>
        </w:tc>
        <w:tc>
          <w:tcPr>
            <w:tcW w:w="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640" w:type="dxa"/>
            <w:vAlign w:val="bottom"/>
            <w:shd w:val="clear" w:color="auto" w:fill="CCEEFF"/>
          </w:tcPr>
          <w:p>
            <w:pPr>
              <w:spacing w:after="0"/>
              <w:rPr>
                <w:sz w:val="20"/>
                <w:szCs w:val="20"/>
                <w:color w:val="auto"/>
              </w:rPr>
            </w:pPr>
            <w:r>
              <w:rPr>
                <w:rFonts w:ascii="Arial" w:cs="Arial" w:eastAsia="Arial" w:hAnsi="Arial"/>
                <w:sz w:val="18"/>
                <w:szCs w:val="18"/>
                <w:color w:val="auto"/>
              </w:rPr>
              <w:t>Debt securities, available-for-sale</w:t>
            </w:r>
          </w:p>
        </w:tc>
        <w:tc>
          <w:tcPr>
            <w:tcW w:w="2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39,091</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9,744</w:t>
            </w:r>
          </w:p>
        </w:tc>
        <w:tc>
          <w:tcPr>
            <w:tcW w:w="60" w:type="dxa"/>
            <w:vAlign w:val="bottom"/>
            <w:shd w:val="clear" w:color="auto" w:fill="CCEEFF"/>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6640" w:type="dxa"/>
            <w:vAlign w:val="bottom"/>
          </w:tcPr>
          <w:p>
            <w:pPr>
              <w:spacing w:after="0"/>
              <w:rPr>
                <w:sz w:val="20"/>
                <w:szCs w:val="20"/>
                <w:color w:val="auto"/>
              </w:rPr>
            </w:pPr>
            <w:r>
              <w:rPr>
                <w:rFonts w:ascii="Arial" w:cs="Arial" w:eastAsia="Arial" w:hAnsi="Arial"/>
                <w:sz w:val="18"/>
                <w:szCs w:val="18"/>
                <w:color w:val="auto"/>
              </w:rPr>
              <w:t>Prepaid expenses and other current assets</w:t>
            </w:r>
          </w:p>
        </w:tc>
        <w:tc>
          <w:tcPr>
            <w:tcW w:w="276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1,492</w:t>
            </w:r>
          </w:p>
        </w:tc>
        <w:tc>
          <w:tcPr>
            <w:tcW w:w="26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712</w:t>
            </w:r>
          </w:p>
        </w:tc>
        <w:tc>
          <w:tcPr>
            <w:tcW w:w="6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6640" w:type="dxa"/>
            <w:vAlign w:val="bottom"/>
            <w:shd w:val="clear" w:color="auto" w:fill="CCEEFF"/>
          </w:tcPr>
          <w:p>
            <w:pPr>
              <w:ind w:left="340"/>
              <w:spacing w:after="0"/>
              <w:rPr>
                <w:sz w:val="20"/>
                <w:szCs w:val="20"/>
                <w:color w:val="auto"/>
              </w:rPr>
            </w:pPr>
            <w:r>
              <w:rPr>
                <w:rFonts w:ascii="Arial" w:cs="Arial" w:eastAsia="Arial" w:hAnsi="Arial"/>
                <w:sz w:val="18"/>
                <w:szCs w:val="18"/>
                <w:color w:val="auto"/>
              </w:rPr>
              <w:t>Total current assets</w:t>
            </w:r>
          </w:p>
        </w:tc>
        <w:tc>
          <w:tcPr>
            <w:tcW w:w="2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101,845</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42,491</w:t>
            </w:r>
          </w:p>
        </w:tc>
        <w:tc>
          <w:tcPr>
            <w:tcW w:w="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640" w:type="dxa"/>
            <w:vAlign w:val="bottom"/>
          </w:tcPr>
          <w:p>
            <w:pPr>
              <w:spacing w:after="0"/>
              <w:rPr>
                <w:sz w:val="20"/>
                <w:szCs w:val="20"/>
                <w:color w:val="auto"/>
              </w:rPr>
            </w:pPr>
            <w:r>
              <w:rPr>
                <w:rFonts w:ascii="Arial" w:cs="Arial" w:eastAsia="Arial" w:hAnsi="Arial"/>
                <w:sz w:val="18"/>
                <w:szCs w:val="18"/>
                <w:color w:val="auto"/>
              </w:rPr>
              <w:t>Property and equipment, net</w:t>
            </w:r>
          </w:p>
        </w:tc>
        <w:tc>
          <w:tcPr>
            <w:tcW w:w="27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167</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79</w:t>
            </w:r>
          </w:p>
        </w:tc>
        <w:tc>
          <w:tcPr>
            <w:tcW w:w="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640" w:type="dxa"/>
            <w:vAlign w:val="bottom"/>
            <w:shd w:val="clear" w:color="auto" w:fill="CCEEFF"/>
          </w:tcPr>
          <w:p>
            <w:pPr>
              <w:spacing w:after="0"/>
              <w:rPr>
                <w:sz w:val="20"/>
                <w:szCs w:val="20"/>
                <w:color w:val="auto"/>
              </w:rPr>
            </w:pPr>
            <w:r>
              <w:rPr>
                <w:rFonts w:ascii="Arial" w:cs="Arial" w:eastAsia="Arial" w:hAnsi="Arial"/>
                <w:sz w:val="18"/>
                <w:szCs w:val="18"/>
                <w:color w:val="auto"/>
              </w:rPr>
              <w:t>Other assets</w:t>
            </w:r>
          </w:p>
        </w:tc>
        <w:tc>
          <w:tcPr>
            <w:tcW w:w="276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436</w:t>
            </w:r>
          </w:p>
        </w:tc>
        <w:tc>
          <w:tcPr>
            <w:tcW w:w="26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312</w:t>
            </w:r>
          </w:p>
        </w:tc>
        <w:tc>
          <w:tcPr>
            <w:tcW w:w="60" w:type="dxa"/>
            <w:vAlign w:val="bottom"/>
            <w:shd w:val="clear" w:color="auto" w:fill="CCEEFF"/>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6640" w:type="dxa"/>
            <w:vAlign w:val="bottom"/>
          </w:tcPr>
          <w:p>
            <w:pPr>
              <w:ind w:left="340"/>
              <w:spacing w:after="0"/>
              <w:rPr>
                <w:sz w:val="20"/>
                <w:szCs w:val="20"/>
                <w:color w:val="auto"/>
              </w:rPr>
            </w:pPr>
            <w:r>
              <w:rPr>
                <w:rFonts w:ascii="Arial" w:cs="Arial" w:eastAsia="Arial" w:hAnsi="Arial"/>
                <w:sz w:val="18"/>
                <w:szCs w:val="18"/>
                <w:color w:val="auto"/>
              </w:rPr>
              <w:t>Total assets</w:t>
            </w:r>
          </w:p>
        </w:tc>
        <w:tc>
          <w:tcPr>
            <w:tcW w:w="2760" w:type="dxa"/>
            <w:vAlign w:val="bottom"/>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u w:val="single" w:color="auto"/>
                <w:color w:val="auto"/>
                <w:w w:val="71"/>
              </w:rPr>
              <w:t>$</w:t>
            </w: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6"/>
              </w:rPr>
              <w:t>102,448</w:t>
            </w:r>
          </w:p>
        </w:tc>
        <w:tc>
          <w:tcPr>
            <w:tcW w:w="260" w:type="dxa"/>
            <w:vAlign w:val="bottom"/>
          </w:tcPr>
          <w:p>
            <w:pPr>
              <w:spacing w:after="0"/>
              <w:rPr>
                <w:sz w:val="19"/>
                <w:szCs w:val="19"/>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5"/>
                <w:szCs w:val="15"/>
                <w:u w:val="single" w:color="auto"/>
                <w:color w:val="auto"/>
                <w:w w:val="71"/>
              </w:rPr>
              <w:t>$</w:t>
            </w: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7"/>
              </w:rPr>
              <w:t>42,882</w:t>
            </w:r>
          </w:p>
        </w:tc>
        <w:tc>
          <w:tcPr>
            <w:tcW w:w="60" w:type="dxa"/>
            <w:vAlign w:val="bottom"/>
          </w:tcPr>
          <w:p>
            <w:pPr>
              <w:spacing w:after="0"/>
              <w:rPr>
                <w:sz w:val="19"/>
                <w:szCs w:val="19"/>
                <w:color w:val="auto"/>
              </w:rPr>
            </w:pPr>
          </w:p>
        </w:tc>
      </w:tr>
      <w:tr>
        <w:trPr>
          <w:trHeight w:val="20"/>
        </w:trPr>
        <w:tc>
          <w:tcPr>
            <w:tcW w:w="20" w:type="dxa"/>
            <w:vAlign w:val="bottom"/>
          </w:tcPr>
          <w:p>
            <w:pPr>
              <w:spacing w:after="0" w:line="20" w:lineRule="exact"/>
              <w:rPr>
                <w:sz w:val="1"/>
                <w:szCs w:val="1"/>
                <w:color w:val="auto"/>
              </w:rPr>
            </w:pPr>
          </w:p>
        </w:tc>
        <w:tc>
          <w:tcPr>
            <w:tcW w:w="664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66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LIABILITIES AND STOCKHOLDERS’ EQUITY</w:t>
            </w:r>
          </w:p>
        </w:tc>
        <w:tc>
          <w:tcPr>
            <w:tcW w:w="2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640" w:type="dxa"/>
            <w:vAlign w:val="bottom"/>
          </w:tcPr>
          <w:p>
            <w:pPr>
              <w:spacing w:after="0"/>
              <w:rPr>
                <w:sz w:val="20"/>
                <w:szCs w:val="20"/>
                <w:color w:val="auto"/>
              </w:rPr>
            </w:pPr>
            <w:r>
              <w:rPr>
                <w:rFonts w:ascii="Arial" w:cs="Arial" w:eastAsia="Arial" w:hAnsi="Arial"/>
                <w:sz w:val="18"/>
                <w:szCs w:val="18"/>
                <w:color w:val="auto"/>
              </w:rPr>
              <w:t>Current liabilities</w:t>
            </w:r>
          </w:p>
        </w:tc>
        <w:tc>
          <w:tcPr>
            <w:tcW w:w="28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10,024</w:t>
            </w: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7,269</w:t>
            </w:r>
          </w:p>
        </w:tc>
        <w:tc>
          <w:tcPr>
            <w:tcW w:w="60" w:type="dxa"/>
            <w:vAlign w:val="bottom"/>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640" w:type="dxa"/>
            <w:vAlign w:val="bottom"/>
            <w:shd w:val="clear" w:color="auto" w:fill="CCEEFF"/>
          </w:tcPr>
          <w:p>
            <w:pPr>
              <w:spacing w:after="0"/>
              <w:rPr>
                <w:sz w:val="20"/>
                <w:szCs w:val="20"/>
                <w:color w:val="auto"/>
              </w:rPr>
            </w:pPr>
            <w:r>
              <w:rPr>
                <w:rFonts w:ascii="Arial" w:cs="Arial" w:eastAsia="Arial" w:hAnsi="Arial"/>
                <w:sz w:val="18"/>
                <w:szCs w:val="18"/>
                <w:color w:val="auto"/>
              </w:rPr>
              <w:t>Other liabilities</w:t>
            </w:r>
          </w:p>
        </w:tc>
        <w:tc>
          <w:tcPr>
            <w:tcW w:w="2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25,832</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13,091</w:t>
            </w:r>
          </w:p>
        </w:tc>
        <w:tc>
          <w:tcPr>
            <w:tcW w:w="60" w:type="dxa"/>
            <w:vAlign w:val="bottom"/>
            <w:shd w:val="clear" w:color="auto" w:fill="CCEEFF"/>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6640" w:type="dxa"/>
            <w:vAlign w:val="bottom"/>
          </w:tcPr>
          <w:p>
            <w:pPr>
              <w:spacing w:after="0"/>
              <w:rPr>
                <w:sz w:val="20"/>
                <w:szCs w:val="20"/>
                <w:color w:val="auto"/>
              </w:rPr>
            </w:pPr>
            <w:r>
              <w:rPr>
                <w:rFonts w:ascii="Arial" w:cs="Arial" w:eastAsia="Arial" w:hAnsi="Arial"/>
                <w:sz w:val="18"/>
                <w:szCs w:val="18"/>
                <w:color w:val="auto"/>
              </w:rPr>
              <w:t>Stockholders’ equity</w:t>
            </w:r>
          </w:p>
        </w:tc>
        <w:tc>
          <w:tcPr>
            <w:tcW w:w="276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66,592</w:t>
            </w:r>
          </w:p>
        </w:tc>
        <w:tc>
          <w:tcPr>
            <w:tcW w:w="26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87"/>
              </w:rPr>
              <w:t>22,522</w:t>
            </w:r>
          </w:p>
        </w:tc>
        <w:tc>
          <w:tcPr>
            <w:tcW w:w="6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6640" w:type="dxa"/>
            <w:vAlign w:val="bottom"/>
            <w:shd w:val="clear" w:color="auto" w:fill="CCEEFF"/>
          </w:tcPr>
          <w:p>
            <w:pPr>
              <w:spacing w:after="0"/>
              <w:rPr>
                <w:sz w:val="20"/>
                <w:szCs w:val="20"/>
                <w:color w:val="auto"/>
              </w:rPr>
            </w:pPr>
            <w:r>
              <w:rPr>
                <w:rFonts w:ascii="Arial" w:cs="Arial" w:eastAsia="Arial" w:hAnsi="Arial"/>
                <w:sz w:val="18"/>
                <w:szCs w:val="18"/>
                <w:color w:val="auto"/>
              </w:rPr>
              <w:t>Total liabilities and stockholders’ equity</w:t>
            </w:r>
          </w:p>
        </w:tc>
        <w:tc>
          <w:tcPr>
            <w:tcW w:w="286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102,448</w:t>
            </w:r>
          </w:p>
        </w:tc>
        <w:tc>
          <w:tcPr>
            <w:tcW w:w="36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42,882</w:t>
            </w:r>
          </w:p>
        </w:tc>
        <w:tc>
          <w:tcPr>
            <w:tcW w:w="60" w:type="dxa"/>
            <w:vAlign w:val="bottom"/>
            <w:shd w:val="clear" w:color="auto" w:fill="CCEEFF"/>
          </w:tcPr>
          <w:p>
            <w:pPr>
              <w:spacing w:after="0"/>
              <w:rPr>
                <w:sz w:val="18"/>
                <w:szCs w:val="18"/>
                <w:color w:val="auto"/>
              </w:rPr>
            </w:pPr>
          </w:p>
        </w:tc>
      </w:tr>
      <w:tr>
        <w:trPr>
          <w:trHeight w:val="20"/>
        </w:trPr>
        <w:tc>
          <w:tcPr>
            <w:tcW w:w="20" w:type="dxa"/>
            <w:vAlign w:val="bottom"/>
          </w:tcPr>
          <w:p>
            <w:pPr>
              <w:spacing w:after="0" w:line="20" w:lineRule="exact"/>
              <w:rPr>
                <w:sz w:val="1"/>
                <w:szCs w:val="1"/>
                <w:color w:val="auto"/>
              </w:rPr>
            </w:pPr>
          </w:p>
        </w:tc>
        <w:tc>
          <w:tcPr>
            <w:tcW w:w="664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364" w:lineRule="exact"/>
        <w:rPr>
          <w:sz w:val="20"/>
          <w:szCs w:val="20"/>
          <w:color w:val="auto"/>
        </w:rPr>
      </w:pPr>
    </w:p>
    <w:p>
      <w:pPr>
        <w:ind w:left="440" w:right="220" w:hanging="436"/>
        <w:spacing w:after="0" w:line="277" w:lineRule="auto"/>
        <w:tabs>
          <w:tab w:leader="none" w:pos="440" w:val="left"/>
        </w:tabs>
        <w:numPr>
          <w:ilvl w:val="0"/>
          <w:numId w:val="12"/>
        </w:numPr>
        <w:rPr>
          <w:rFonts w:ascii="Arial" w:cs="Arial" w:eastAsia="Arial" w:hAnsi="Arial"/>
          <w:sz w:val="15"/>
          <w:szCs w:val="15"/>
          <w:color w:val="auto"/>
        </w:rPr>
      </w:pPr>
      <w:r>
        <w:rPr>
          <w:rFonts w:ascii="Arial" w:cs="Arial" w:eastAsia="Arial" w:hAnsi="Arial"/>
          <w:sz w:val="18"/>
          <w:szCs w:val="18"/>
          <w:color w:val="auto"/>
        </w:rPr>
        <w:t>Derived from the audited financial statements, included in the Company’s Annual Report on Form 10-K for the years ended December 31, 2018 and 2017.</w:t>
      </w:r>
    </w:p>
    <w:p>
      <w:pPr>
        <w:sectPr>
          <w:pgSz w:w="11900" w:h="16838" w:orient="portrait"/>
          <w:cols w:equalWidth="0" w:num="1">
            <w:col w:w="11040"/>
          </w:cols>
          <w:pgMar w:left="440" w:top="270" w:right="419" w:bottom="1440" w:gutter="0" w:footer="0" w:header="0"/>
        </w:sectPr>
      </w:pPr>
    </w:p>
    <w:bookmarkStart w:id="7" w:name="page8"/>
    <w:bookmarkEnd w:id="7"/>
    <w:p>
      <w:pPr>
        <w:jc w:val="center"/>
        <w:ind w:right="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Eiger BioPharmaceuticals Inc.</w:t>
      </w:r>
    </w:p>
    <w:p>
      <w:pPr>
        <w:spacing w:after="0" w:line="27"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Condensed Consolidated Statements of Operations Financial Data</w:t>
      </w:r>
    </w:p>
    <w:p>
      <w:pPr>
        <w:spacing w:after="0" w:line="9"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(in thousands, except per share and share amounts)</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16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240" w:type="dxa"/>
            <w:vAlign w:val="bottom"/>
            <w:gridSpan w:val="6"/>
          </w:tcPr>
          <w:p>
            <w:pPr>
              <w:jc w:val="center"/>
              <w:ind w:right="320"/>
              <w:spacing w:after="0"/>
              <w:rPr>
                <w:sz w:val="20"/>
                <w:szCs w:val="20"/>
                <w:color w:val="auto"/>
              </w:rPr>
            </w:pPr>
            <w:r>
              <w:rPr>
                <w:rFonts w:ascii="Arial" w:cs="Arial" w:eastAsia="Arial" w:hAnsi="Arial"/>
                <w:sz w:val="14"/>
                <w:szCs w:val="14"/>
                <w:b w:val="1"/>
                <w:bCs w:val="1"/>
                <w:color w:val="auto"/>
                <w:w w:val="95"/>
              </w:rPr>
              <w:t>Three Months Ended</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20" w:type="dxa"/>
            <w:vAlign w:val="bottom"/>
            <w:gridSpan w:val="4"/>
            <w:vMerge w:val="restart"/>
          </w:tcPr>
          <w:p>
            <w:pPr>
              <w:jc w:val="center"/>
              <w:ind w:left="416"/>
              <w:spacing w:after="0"/>
              <w:rPr>
                <w:sz w:val="20"/>
                <w:szCs w:val="20"/>
                <w:color w:val="auto"/>
              </w:rPr>
            </w:pPr>
            <w:r>
              <w:rPr>
                <w:rFonts w:ascii="Arial" w:cs="Arial" w:eastAsia="Arial" w:hAnsi="Arial"/>
                <w:sz w:val="14"/>
                <w:szCs w:val="14"/>
                <w:b w:val="1"/>
                <w:bCs w:val="1"/>
                <w:color w:val="auto"/>
                <w:w w:val="93"/>
              </w:rPr>
              <w:t>Year Ended</w:t>
            </w:r>
          </w:p>
        </w:tc>
        <w:tc>
          <w:tcPr>
            <w:tcW w:w="6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16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20" w:type="dxa"/>
            <w:vAlign w:val="bottom"/>
            <w:gridSpan w:val="4"/>
          </w:tcPr>
          <w:p>
            <w:pPr>
              <w:jc w:val="center"/>
              <w:ind w:left="416"/>
              <w:spacing w:after="0" w:line="149" w:lineRule="exact"/>
              <w:rPr>
                <w:sz w:val="20"/>
                <w:szCs w:val="20"/>
                <w:color w:val="auto"/>
              </w:rPr>
            </w:pPr>
            <w:r>
              <w:rPr>
                <w:rFonts w:ascii="Arial" w:cs="Arial" w:eastAsia="Arial" w:hAnsi="Arial"/>
                <w:sz w:val="14"/>
                <w:szCs w:val="14"/>
                <w:b w:val="1"/>
                <w:bCs w:val="1"/>
                <w:color w:val="auto"/>
                <w:w w:val="92"/>
              </w:rPr>
              <w:t>December 31,</w:t>
            </w:r>
          </w:p>
        </w:tc>
        <w:tc>
          <w:tcPr>
            <w:tcW w:w="6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20" w:type="dxa"/>
            <w:vAlign w:val="bottom"/>
            <w:gridSpan w:val="4"/>
            <w:vMerge w:val="continue"/>
          </w:tcPr>
          <w:p>
            <w:pPr>
              <w:spacing w:after="0"/>
              <w:rPr>
                <w:sz w:val="12"/>
                <w:szCs w:val="12"/>
                <w:color w:val="auto"/>
              </w:rPr>
            </w:pPr>
          </w:p>
        </w:tc>
        <w:tc>
          <w:tcPr>
            <w:tcW w:w="6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516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gridSpan w:val="4"/>
          </w:tcPr>
          <w:p>
            <w:pPr>
              <w:jc w:val="center"/>
              <w:ind w:left="416"/>
              <w:spacing w:after="0"/>
              <w:rPr>
                <w:sz w:val="20"/>
                <w:szCs w:val="20"/>
                <w:color w:val="auto"/>
              </w:rPr>
            </w:pPr>
            <w:r>
              <w:rPr>
                <w:rFonts w:ascii="Arial" w:cs="Arial" w:eastAsia="Arial" w:hAnsi="Arial"/>
                <w:sz w:val="14"/>
                <w:szCs w:val="14"/>
                <w:b w:val="1"/>
                <w:bCs w:val="1"/>
                <w:color w:val="auto"/>
                <w:w w:val="94"/>
              </w:rPr>
              <w:t>(unaudited)</w:t>
            </w:r>
          </w:p>
        </w:tc>
        <w:tc>
          <w:tcPr>
            <w:tcW w:w="600" w:type="dxa"/>
            <w:vAlign w:val="bottom"/>
            <w:tcBorders>
              <w:bottom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gridSpan w:val="4"/>
          </w:tcPr>
          <w:p>
            <w:pPr>
              <w:jc w:val="center"/>
              <w:ind w:left="416"/>
              <w:spacing w:after="0"/>
              <w:rPr>
                <w:sz w:val="20"/>
                <w:szCs w:val="20"/>
                <w:color w:val="auto"/>
              </w:rPr>
            </w:pPr>
            <w:r>
              <w:rPr>
                <w:rFonts w:ascii="Arial" w:cs="Arial" w:eastAsia="Arial" w:hAnsi="Arial"/>
                <w:sz w:val="14"/>
                <w:szCs w:val="14"/>
                <w:b w:val="1"/>
                <w:bCs w:val="1"/>
                <w:color w:val="auto"/>
                <w:w w:val="92"/>
              </w:rPr>
              <w:t>December 31,</w:t>
            </w:r>
          </w:p>
        </w:tc>
        <w:tc>
          <w:tcPr>
            <w:tcW w:w="60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160" w:type="dxa"/>
            <w:vAlign w:val="bottom"/>
            <w:tcBorders>
              <w:bottom w:val="single" w:sz="8" w:color="CCEEFF"/>
            </w:tcBorders>
          </w:tcPr>
          <w:p>
            <w:pPr>
              <w:spacing w:after="0"/>
              <w:rPr>
                <w:sz w:val="12"/>
                <w:szCs w:val="12"/>
                <w:color w:val="auto"/>
              </w:rPr>
            </w:pPr>
          </w:p>
        </w:tc>
        <w:tc>
          <w:tcPr>
            <w:tcW w:w="1160" w:type="dxa"/>
            <w:vAlign w:val="bottom"/>
            <w:tcBorders>
              <w:bottom w:val="single" w:sz="8" w:color="CCEEFF"/>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jc w:val="right"/>
              <w:ind w:right="236"/>
              <w:spacing w:after="0" w:line="142" w:lineRule="exact"/>
              <w:rPr>
                <w:sz w:val="20"/>
                <w:szCs w:val="20"/>
                <w:color w:val="auto"/>
              </w:rPr>
            </w:pPr>
            <w:r>
              <w:rPr>
                <w:rFonts w:ascii="Arial" w:cs="Arial" w:eastAsia="Arial" w:hAnsi="Arial"/>
                <w:sz w:val="14"/>
                <w:szCs w:val="14"/>
                <w:b w:val="1"/>
                <w:bCs w:val="1"/>
                <w:color w:val="auto"/>
              </w:rPr>
              <w:t>2018</w:t>
            </w:r>
          </w:p>
        </w:tc>
        <w:tc>
          <w:tcPr>
            <w:tcW w:w="200" w:type="dxa"/>
            <w:vAlign w:val="bottom"/>
            <w:tcBorders>
              <w:bottom w:val="single" w:sz="8" w:color="CCEEFF"/>
            </w:tcBorders>
          </w:tcPr>
          <w:p>
            <w:pPr>
              <w:spacing w:after="0"/>
              <w:rPr>
                <w:sz w:val="12"/>
                <w:szCs w:val="12"/>
                <w:color w:val="auto"/>
              </w:rPr>
            </w:pPr>
          </w:p>
        </w:tc>
        <w:tc>
          <w:tcPr>
            <w:tcW w:w="180" w:type="dxa"/>
            <w:vAlign w:val="bottom"/>
            <w:tcBorders>
              <w:bottom w:val="single" w:sz="8" w:color="CCEEFF"/>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jc w:val="right"/>
              <w:ind w:right="193"/>
              <w:spacing w:after="0" w:line="142" w:lineRule="exact"/>
              <w:rPr>
                <w:sz w:val="20"/>
                <w:szCs w:val="20"/>
                <w:color w:val="auto"/>
              </w:rPr>
            </w:pPr>
            <w:r>
              <w:rPr>
                <w:rFonts w:ascii="Arial" w:cs="Arial" w:eastAsia="Arial" w:hAnsi="Arial"/>
                <w:sz w:val="14"/>
                <w:szCs w:val="14"/>
                <w:b w:val="1"/>
                <w:bCs w:val="1"/>
                <w:color w:val="auto"/>
                <w:w w:val="96"/>
              </w:rPr>
              <w:t>2017</w:t>
            </w:r>
          </w:p>
        </w:tc>
        <w:tc>
          <w:tcPr>
            <w:tcW w:w="220" w:type="dxa"/>
            <w:vAlign w:val="bottom"/>
            <w:tcBorders>
              <w:bottom w:val="single" w:sz="8" w:color="CCEEFF"/>
            </w:tcBorders>
          </w:tcPr>
          <w:p>
            <w:pPr>
              <w:spacing w:after="0"/>
              <w:rPr>
                <w:sz w:val="12"/>
                <w:szCs w:val="12"/>
                <w:color w:val="auto"/>
              </w:rPr>
            </w:pPr>
          </w:p>
        </w:tc>
        <w:tc>
          <w:tcPr>
            <w:tcW w:w="160" w:type="dxa"/>
            <w:vAlign w:val="bottom"/>
            <w:tcBorders>
              <w:bottom w:val="single" w:sz="8" w:color="CCEEFF"/>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jc w:val="right"/>
              <w:ind w:right="236"/>
              <w:spacing w:after="0" w:line="142" w:lineRule="exact"/>
              <w:rPr>
                <w:sz w:val="20"/>
                <w:szCs w:val="20"/>
                <w:color w:val="auto"/>
              </w:rPr>
            </w:pPr>
            <w:r>
              <w:rPr>
                <w:rFonts w:ascii="Arial" w:cs="Arial" w:eastAsia="Arial" w:hAnsi="Arial"/>
                <w:sz w:val="14"/>
                <w:szCs w:val="14"/>
                <w:b w:val="1"/>
                <w:bCs w:val="1"/>
                <w:color w:val="auto"/>
              </w:rPr>
              <w:t>2018</w:t>
            </w:r>
          </w:p>
        </w:tc>
        <w:tc>
          <w:tcPr>
            <w:tcW w:w="220" w:type="dxa"/>
            <w:vAlign w:val="bottom"/>
            <w:tcBorders>
              <w:bottom w:val="single" w:sz="8" w:color="CCEEFF"/>
            </w:tcBorders>
          </w:tcPr>
          <w:p>
            <w:pPr>
              <w:spacing w:after="0"/>
              <w:rPr>
                <w:sz w:val="12"/>
                <w:szCs w:val="12"/>
                <w:color w:val="auto"/>
              </w:rPr>
            </w:pPr>
          </w:p>
        </w:tc>
        <w:tc>
          <w:tcPr>
            <w:tcW w:w="160" w:type="dxa"/>
            <w:vAlign w:val="bottom"/>
            <w:tcBorders>
              <w:bottom w:val="single" w:sz="8" w:color="CCEEFF"/>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jc w:val="right"/>
              <w:ind w:right="193"/>
              <w:spacing w:after="0" w:line="142" w:lineRule="exact"/>
              <w:rPr>
                <w:sz w:val="20"/>
                <w:szCs w:val="20"/>
                <w:color w:val="auto"/>
              </w:rPr>
            </w:pPr>
            <w:r>
              <w:rPr>
                <w:rFonts w:ascii="Arial" w:cs="Arial" w:eastAsia="Arial" w:hAnsi="Arial"/>
                <w:sz w:val="14"/>
                <w:szCs w:val="14"/>
                <w:b w:val="1"/>
                <w:bCs w:val="1"/>
                <w:color w:val="auto"/>
                <w:w w:val="96"/>
              </w:rPr>
              <w:t>2017</w:t>
            </w:r>
          </w:p>
        </w:tc>
        <w:tc>
          <w:tcPr>
            <w:tcW w:w="12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516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rPr>
              <w:t>Operating expenses:</w:t>
            </w:r>
          </w:p>
        </w:tc>
        <w:tc>
          <w:tcPr>
            <w:tcW w:w="1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tcPr>
          <w:p>
            <w:pPr>
              <w:ind w:left="700"/>
              <w:spacing w:after="0"/>
              <w:rPr>
                <w:sz w:val="20"/>
                <w:szCs w:val="20"/>
                <w:color w:val="auto"/>
              </w:rPr>
            </w:pPr>
            <w:r>
              <w:rPr>
                <w:rFonts w:ascii="Arial" w:cs="Arial" w:eastAsia="Arial" w:hAnsi="Arial"/>
                <w:sz w:val="18"/>
                <w:szCs w:val="18"/>
                <w:color w:val="auto"/>
              </w:rPr>
              <w:t>Research and development</w:t>
            </w:r>
            <w:r>
              <w:rPr>
                <w:rFonts w:ascii="Arial" w:cs="Arial" w:eastAsia="Arial" w:hAnsi="Arial"/>
                <w:sz w:val="15"/>
                <w:szCs w:val="15"/>
                <w:color w:val="auto"/>
              </w:rPr>
              <w:t>(1)</w:t>
            </w:r>
          </w:p>
        </w:tc>
        <w:tc>
          <w:tcPr>
            <w:tcW w:w="1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12,011</w:t>
            </w:r>
          </w:p>
        </w:tc>
        <w:tc>
          <w:tcPr>
            <w:tcW w:w="200" w:type="dxa"/>
            <w:vAlign w:val="bottom"/>
          </w:tcPr>
          <w:p>
            <w:pPr>
              <w:spacing w:after="0"/>
              <w:rPr>
                <w:sz w:val="18"/>
                <w:szCs w:val="18"/>
                <w:color w:val="auto"/>
              </w:rPr>
            </w:pPr>
          </w:p>
        </w:tc>
        <w:tc>
          <w:tcPr>
            <w:tcW w:w="400" w:type="dxa"/>
            <w:vAlign w:val="bottom"/>
            <w:gridSpan w:val="2"/>
          </w:tcPr>
          <w:p>
            <w:pPr>
              <w:jc w:val="right"/>
              <w:ind w:right="65"/>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7,779</w:t>
            </w:r>
          </w:p>
        </w:tc>
        <w:tc>
          <w:tcPr>
            <w:tcW w:w="220" w:type="dxa"/>
            <w:vAlign w:val="bottom"/>
          </w:tcPr>
          <w:p>
            <w:pPr>
              <w:spacing w:after="0"/>
              <w:rPr>
                <w:sz w:val="18"/>
                <w:szCs w:val="18"/>
                <w:color w:val="auto"/>
              </w:rPr>
            </w:pP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37,091</w:t>
            </w:r>
          </w:p>
        </w:tc>
        <w:tc>
          <w:tcPr>
            <w:tcW w:w="220" w:type="dxa"/>
            <w:vAlign w:val="bottom"/>
          </w:tcPr>
          <w:p>
            <w:pPr>
              <w:spacing w:after="0"/>
              <w:rPr>
                <w:sz w:val="18"/>
                <w:szCs w:val="18"/>
                <w:color w:val="auto"/>
              </w:rPr>
            </w:pPr>
          </w:p>
        </w:tc>
        <w:tc>
          <w:tcPr>
            <w:tcW w:w="380" w:type="dxa"/>
            <w:vAlign w:val="bottom"/>
            <w:gridSpan w:val="2"/>
          </w:tcPr>
          <w:p>
            <w:pPr>
              <w:jc w:val="right"/>
              <w:ind w:right="65"/>
              <w:spacing w:after="0"/>
              <w:rPr>
                <w:sz w:val="20"/>
                <w:szCs w:val="20"/>
                <w:color w:val="auto"/>
              </w:rPr>
            </w:pPr>
            <w:r>
              <w:rPr>
                <w:rFonts w:ascii="Arial" w:cs="Arial" w:eastAsia="Arial" w:hAnsi="Arial"/>
                <w:sz w:val="18"/>
                <w:szCs w:val="18"/>
                <w:color w:val="auto"/>
              </w:rPr>
              <w:t>$</w:t>
            </w:r>
          </w:p>
        </w:tc>
        <w:tc>
          <w:tcPr>
            <w:tcW w:w="600" w:type="dxa"/>
            <w:vAlign w:val="bottom"/>
          </w:tcPr>
          <w:p>
            <w:pPr>
              <w:jc w:val="right"/>
              <w:spacing w:after="0"/>
              <w:rPr>
                <w:sz w:val="20"/>
                <w:szCs w:val="20"/>
                <w:color w:val="auto"/>
              </w:rPr>
            </w:pPr>
            <w:r>
              <w:rPr>
                <w:rFonts w:ascii="Arial" w:cs="Arial" w:eastAsia="Arial" w:hAnsi="Arial"/>
                <w:sz w:val="18"/>
                <w:szCs w:val="18"/>
                <w:color w:val="auto"/>
              </w:rPr>
              <w:t>29,519</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shd w:val="clear" w:color="auto" w:fill="CCEEFF"/>
          </w:tcPr>
          <w:p>
            <w:pPr>
              <w:ind w:left="700"/>
              <w:spacing w:after="0"/>
              <w:rPr>
                <w:sz w:val="20"/>
                <w:szCs w:val="20"/>
                <w:color w:val="auto"/>
              </w:rPr>
            </w:pPr>
            <w:r>
              <w:rPr>
                <w:rFonts w:ascii="Arial" w:cs="Arial" w:eastAsia="Arial" w:hAnsi="Arial"/>
                <w:sz w:val="18"/>
                <w:szCs w:val="18"/>
                <w:color w:val="auto"/>
              </w:rPr>
              <w:t>General and administrative</w:t>
            </w:r>
            <w:r>
              <w:rPr>
                <w:rFonts w:ascii="Arial" w:cs="Arial" w:eastAsia="Arial" w:hAnsi="Arial"/>
                <w:sz w:val="15"/>
                <w:szCs w:val="15"/>
                <w:color w:val="auto"/>
              </w:rPr>
              <w:t>(1)</w:t>
            </w:r>
          </w:p>
        </w:tc>
        <w:tc>
          <w:tcPr>
            <w:tcW w:w="116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4,082</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2,806</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13,956</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12,001</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160" w:type="dxa"/>
            <w:vAlign w:val="bottom"/>
          </w:tcPr>
          <w:p>
            <w:pPr>
              <w:ind w:left="1060"/>
              <w:spacing w:after="0"/>
              <w:rPr>
                <w:sz w:val="20"/>
                <w:szCs w:val="20"/>
                <w:color w:val="auto"/>
              </w:rPr>
            </w:pPr>
            <w:r>
              <w:rPr>
                <w:rFonts w:ascii="Arial" w:cs="Arial" w:eastAsia="Arial" w:hAnsi="Arial"/>
                <w:sz w:val="18"/>
                <w:szCs w:val="18"/>
                <w:color w:val="auto"/>
              </w:rPr>
              <w:t>Total operating expenses</w:t>
            </w:r>
          </w:p>
        </w:tc>
        <w:tc>
          <w:tcPr>
            <w:tcW w:w="1160" w:type="dxa"/>
            <w:vAlign w:val="bottom"/>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16,093</w:t>
            </w:r>
          </w:p>
        </w:tc>
        <w:tc>
          <w:tcPr>
            <w:tcW w:w="2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10,585</w:t>
            </w: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51,047</w:t>
            </w: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20" w:type="dxa"/>
            <w:vAlign w:val="bottom"/>
            <w:tcBorders>
              <w:bottom w:val="single" w:sz="8" w:color="auto"/>
            </w:tcBorders>
          </w:tcPr>
          <w:p>
            <w:pPr>
              <w:spacing w:after="0"/>
              <w:rPr>
                <w:sz w:val="20"/>
                <w:szCs w:val="20"/>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41,520</w:t>
            </w:r>
          </w:p>
        </w:tc>
        <w:tc>
          <w:tcPr>
            <w:tcW w:w="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shd w:val="clear" w:color="auto" w:fill="CCEEFF"/>
          </w:tcPr>
          <w:p>
            <w:pPr>
              <w:spacing w:after="0"/>
              <w:rPr>
                <w:sz w:val="20"/>
                <w:szCs w:val="20"/>
                <w:color w:val="auto"/>
              </w:rPr>
            </w:pPr>
            <w:r>
              <w:rPr>
                <w:rFonts w:ascii="Arial" w:cs="Arial" w:eastAsia="Arial" w:hAnsi="Arial"/>
                <w:sz w:val="18"/>
                <w:szCs w:val="18"/>
                <w:color w:val="auto"/>
              </w:rPr>
              <w:t>Loss from operations</w:t>
            </w:r>
          </w:p>
        </w:tc>
        <w:tc>
          <w:tcPr>
            <w:tcW w:w="1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(16,093)</w:t>
            </w: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5"/>
              </w:rPr>
              <w:t>(10,585)</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(51,047)</w:t>
            </w: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5"/>
              </w:rPr>
              <w:t>(41,520)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tcPr>
          <w:p>
            <w:pPr>
              <w:spacing w:after="0"/>
              <w:rPr>
                <w:sz w:val="20"/>
                <w:szCs w:val="20"/>
                <w:color w:val="auto"/>
              </w:rPr>
            </w:pPr>
            <w:r>
              <w:rPr>
                <w:rFonts w:ascii="Arial" w:cs="Arial" w:eastAsia="Arial" w:hAnsi="Arial"/>
                <w:sz w:val="18"/>
                <w:szCs w:val="18"/>
                <w:color w:val="auto"/>
              </w:rPr>
              <w:t>Interest expense</w:t>
            </w:r>
          </w:p>
        </w:tc>
        <w:tc>
          <w:tcPr>
            <w:tcW w:w="1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20" w:type="dxa"/>
            <w:vAlign w:val="bottom"/>
            <w:gridSpan w:val="2"/>
          </w:tcPr>
          <w:p>
            <w:pPr>
              <w:jc w:val="right"/>
              <w:ind w:right="160"/>
              <w:spacing w:after="0"/>
              <w:rPr>
                <w:sz w:val="20"/>
                <w:szCs w:val="20"/>
                <w:color w:val="auto"/>
              </w:rPr>
            </w:pPr>
            <w:r>
              <w:rPr>
                <w:rFonts w:ascii="Arial" w:cs="Arial" w:eastAsia="Arial" w:hAnsi="Arial"/>
                <w:sz w:val="18"/>
                <w:szCs w:val="18"/>
                <w:color w:val="auto"/>
              </w:rPr>
              <w:t>(755)</w:t>
            </w: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8"/>
                <w:szCs w:val="18"/>
                <w:color w:val="auto"/>
              </w:rPr>
              <w:t>(395)</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40" w:type="dxa"/>
            <w:vAlign w:val="bottom"/>
            <w:gridSpan w:val="2"/>
          </w:tcPr>
          <w:p>
            <w:pPr>
              <w:jc w:val="right"/>
              <w:ind w:right="160"/>
              <w:spacing w:after="0"/>
              <w:rPr>
                <w:sz w:val="20"/>
                <w:szCs w:val="20"/>
                <w:color w:val="auto"/>
              </w:rPr>
            </w:pPr>
            <w:r>
              <w:rPr>
                <w:rFonts w:ascii="Arial" w:cs="Arial" w:eastAsia="Arial" w:hAnsi="Arial"/>
                <w:sz w:val="18"/>
                <w:szCs w:val="18"/>
                <w:color w:val="auto"/>
              </w:rPr>
              <w:t>(2,329)</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20" w:type="dxa"/>
            <w:vAlign w:val="bottom"/>
            <w:gridSpan w:val="2"/>
          </w:tcPr>
          <w:p>
            <w:pPr>
              <w:jc w:val="right"/>
              <w:ind w:right="60"/>
              <w:spacing w:after="0"/>
              <w:rPr>
                <w:sz w:val="20"/>
                <w:szCs w:val="20"/>
                <w:color w:val="auto"/>
              </w:rPr>
            </w:pPr>
            <w:r>
              <w:rPr>
                <w:rFonts w:ascii="Arial" w:cs="Arial" w:eastAsia="Arial" w:hAnsi="Arial"/>
                <w:sz w:val="18"/>
                <w:szCs w:val="18"/>
                <w:color w:val="auto"/>
              </w:rPr>
              <w:t>(1,524)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shd w:val="clear" w:color="auto" w:fill="CCEEFF"/>
          </w:tcPr>
          <w:p>
            <w:pPr>
              <w:spacing w:after="0"/>
              <w:rPr>
                <w:sz w:val="20"/>
                <w:szCs w:val="20"/>
                <w:color w:val="auto"/>
              </w:rPr>
            </w:pPr>
            <w:r>
              <w:rPr>
                <w:rFonts w:ascii="Arial" w:cs="Arial" w:eastAsia="Arial" w:hAnsi="Arial"/>
                <w:sz w:val="18"/>
                <w:szCs w:val="18"/>
                <w:color w:val="auto"/>
              </w:rPr>
              <w:t>Interest income</w:t>
            </w:r>
          </w:p>
        </w:tc>
        <w:tc>
          <w:tcPr>
            <w:tcW w:w="1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343</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89</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997</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410</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tcPr>
          <w:p>
            <w:pPr>
              <w:spacing w:after="0"/>
              <w:rPr>
                <w:sz w:val="20"/>
                <w:szCs w:val="20"/>
                <w:color w:val="auto"/>
              </w:rPr>
            </w:pPr>
            <w:r>
              <w:rPr>
                <w:rFonts w:ascii="Arial" w:cs="Arial" w:eastAsia="Arial" w:hAnsi="Arial"/>
                <w:sz w:val="18"/>
                <w:szCs w:val="18"/>
                <w:color w:val="auto"/>
              </w:rPr>
              <w:t>Other (expense) income, net</w:t>
            </w:r>
          </w:p>
        </w:tc>
        <w:tc>
          <w:tcPr>
            <w:tcW w:w="1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4</w:t>
            </w: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8"/>
                <w:szCs w:val="18"/>
                <w:color w:val="auto"/>
              </w:rPr>
              <w:t>(2)</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40" w:type="dxa"/>
            <w:vAlign w:val="bottom"/>
            <w:gridSpan w:val="2"/>
          </w:tcPr>
          <w:p>
            <w:pPr>
              <w:jc w:val="right"/>
              <w:ind w:right="160"/>
              <w:spacing w:after="0"/>
              <w:rPr>
                <w:sz w:val="20"/>
                <w:szCs w:val="20"/>
                <w:color w:val="auto"/>
              </w:rPr>
            </w:pPr>
            <w:r>
              <w:rPr>
                <w:rFonts w:ascii="Arial" w:cs="Arial" w:eastAsia="Arial" w:hAnsi="Arial"/>
                <w:sz w:val="18"/>
                <w:szCs w:val="18"/>
                <w:color w:val="auto"/>
              </w:rPr>
              <w:t>(12)</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186</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1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80" w:type="dxa"/>
            <w:vAlign w:val="bottom"/>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160" w:type="dxa"/>
            <w:vAlign w:val="bottom"/>
            <w:shd w:val="clear" w:color="auto" w:fill="CCEEFF"/>
          </w:tcPr>
          <w:p>
            <w:pPr>
              <w:spacing w:after="0"/>
              <w:rPr>
                <w:sz w:val="20"/>
                <w:szCs w:val="20"/>
                <w:color w:val="auto"/>
              </w:rPr>
            </w:pPr>
            <w:r>
              <w:rPr>
                <w:rFonts w:ascii="Arial" w:cs="Arial" w:eastAsia="Arial" w:hAnsi="Arial"/>
                <w:sz w:val="18"/>
                <w:szCs w:val="18"/>
                <w:color w:val="auto"/>
              </w:rPr>
              <w:t>Net loss</w:t>
            </w:r>
          </w:p>
        </w:tc>
        <w:tc>
          <w:tcPr>
            <w:tcW w:w="1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(16,501)</w:t>
            </w:r>
          </w:p>
        </w:tc>
        <w:tc>
          <w:tcPr>
            <w:tcW w:w="400" w:type="dxa"/>
            <w:vAlign w:val="bottom"/>
            <w:gridSpan w:val="2"/>
            <w:shd w:val="clear" w:color="auto" w:fill="CCEEFF"/>
          </w:tcPr>
          <w:p>
            <w:pPr>
              <w:jc w:val="right"/>
              <w:ind w:right="65"/>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5"/>
              </w:rPr>
              <w:t>(10,893)</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(52,391)</w:t>
            </w:r>
          </w:p>
        </w:tc>
        <w:tc>
          <w:tcPr>
            <w:tcW w:w="380" w:type="dxa"/>
            <w:vAlign w:val="bottom"/>
            <w:gridSpan w:val="2"/>
            <w:shd w:val="clear" w:color="auto" w:fill="CCEEFF"/>
          </w:tcPr>
          <w:p>
            <w:pPr>
              <w:jc w:val="right"/>
              <w:ind w:right="65"/>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5"/>
              </w:rPr>
              <w:t>(42,448)</w:t>
            </w:r>
          </w:p>
        </w:tc>
        <w:tc>
          <w:tcPr>
            <w:tcW w:w="0" w:type="dxa"/>
            <w:vAlign w:val="bottom"/>
          </w:tcPr>
          <w:p>
            <w:pPr>
              <w:spacing w:after="0"/>
              <w:rPr>
                <w:sz w:val="1"/>
                <w:szCs w:val="1"/>
                <w:color w:val="auto"/>
              </w:rPr>
            </w:pPr>
          </w:p>
        </w:tc>
      </w:tr>
      <w:tr>
        <w:trPr>
          <w:trHeight w:val="20"/>
        </w:trPr>
        <w:tc>
          <w:tcPr>
            <w:tcW w:w="5180" w:type="dxa"/>
            <w:vAlign w:val="bottom"/>
            <w:gridSpan w:val="2"/>
            <w:vMerge w:val="restart"/>
          </w:tcPr>
          <w:p>
            <w:pPr>
              <w:spacing w:after="0"/>
              <w:rPr>
                <w:sz w:val="20"/>
                <w:szCs w:val="20"/>
                <w:color w:val="auto"/>
              </w:rPr>
            </w:pPr>
            <w:r>
              <w:rPr>
                <w:rFonts w:ascii="Arial" w:cs="Arial" w:eastAsia="Arial" w:hAnsi="Arial"/>
                <w:sz w:val="18"/>
                <w:szCs w:val="18"/>
                <w:color w:val="auto"/>
              </w:rPr>
              <w:t>Net loss per common share:</w:t>
            </w:r>
          </w:p>
        </w:tc>
        <w:tc>
          <w:tcPr>
            <w:tcW w:w="1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180" w:type="dxa"/>
            <w:vAlign w:val="bottom"/>
            <w:gridSpan w:val="2"/>
            <w:vMerge w:val="continue"/>
          </w:tcPr>
          <w:p>
            <w:pPr>
              <w:spacing w:after="0"/>
              <w:rPr>
                <w:sz w:val="18"/>
                <w:szCs w:val="18"/>
                <w:color w:val="auto"/>
              </w:rPr>
            </w:pPr>
          </w:p>
        </w:tc>
        <w:tc>
          <w:tcPr>
            <w:tcW w:w="1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shd w:val="clear" w:color="auto" w:fill="CCEEFF"/>
          </w:tcPr>
          <w:p>
            <w:pPr>
              <w:ind w:left="700"/>
              <w:spacing w:after="0"/>
              <w:rPr>
                <w:sz w:val="20"/>
                <w:szCs w:val="20"/>
                <w:color w:val="auto"/>
              </w:rPr>
            </w:pPr>
            <w:r>
              <w:rPr>
                <w:rFonts w:ascii="Arial" w:cs="Arial" w:eastAsia="Arial" w:hAnsi="Arial"/>
                <w:sz w:val="18"/>
                <w:szCs w:val="18"/>
                <w:color w:val="auto"/>
              </w:rPr>
              <w:t>Basic and diluted</w:t>
            </w:r>
          </w:p>
        </w:tc>
        <w:tc>
          <w:tcPr>
            <w:tcW w:w="1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(0.92)</w:t>
            </w:r>
          </w:p>
        </w:tc>
        <w:tc>
          <w:tcPr>
            <w:tcW w:w="400" w:type="dxa"/>
            <w:vAlign w:val="bottom"/>
            <w:gridSpan w:val="2"/>
            <w:shd w:val="clear" w:color="auto" w:fill="CCEEFF"/>
          </w:tcPr>
          <w:p>
            <w:pPr>
              <w:jc w:val="right"/>
              <w:ind w:right="65"/>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(1.11)</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(3.82)</w:t>
            </w:r>
          </w:p>
        </w:tc>
        <w:tc>
          <w:tcPr>
            <w:tcW w:w="380" w:type="dxa"/>
            <w:vAlign w:val="bottom"/>
            <w:gridSpan w:val="2"/>
            <w:shd w:val="clear" w:color="auto" w:fill="CCEEFF"/>
          </w:tcPr>
          <w:p>
            <w:pPr>
              <w:jc w:val="right"/>
              <w:ind w:right="65"/>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(4.86)</w:t>
            </w:r>
          </w:p>
        </w:tc>
        <w:tc>
          <w:tcPr>
            <w:tcW w:w="0" w:type="dxa"/>
            <w:vAlign w:val="bottom"/>
          </w:tcPr>
          <w:p>
            <w:pPr>
              <w:spacing w:after="0"/>
              <w:rPr>
                <w:sz w:val="1"/>
                <w:szCs w:val="1"/>
                <w:color w:val="auto"/>
              </w:rPr>
            </w:pPr>
          </w:p>
        </w:tc>
      </w:tr>
      <w:tr>
        <w:trPr>
          <w:trHeight w:val="20"/>
        </w:trPr>
        <w:tc>
          <w:tcPr>
            <w:tcW w:w="5180" w:type="dxa"/>
            <w:vAlign w:val="bottom"/>
            <w:gridSpan w:val="2"/>
            <w:vMerge w:val="restart"/>
          </w:tcPr>
          <w:p>
            <w:pPr>
              <w:spacing w:after="0"/>
              <w:rPr>
                <w:sz w:val="20"/>
                <w:szCs w:val="20"/>
                <w:color w:val="auto"/>
              </w:rPr>
            </w:pPr>
            <w:r>
              <w:rPr>
                <w:rFonts w:ascii="Arial" w:cs="Arial" w:eastAsia="Arial" w:hAnsi="Arial"/>
                <w:sz w:val="18"/>
                <w:szCs w:val="18"/>
                <w:color w:val="auto"/>
              </w:rPr>
              <w:t>Shares used to compute net loss per common share:</w:t>
            </w:r>
          </w:p>
        </w:tc>
        <w:tc>
          <w:tcPr>
            <w:tcW w:w="1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180" w:type="dxa"/>
            <w:vAlign w:val="bottom"/>
            <w:gridSpan w:val="2"/>
            <w:vMerge w:val="continue"/>
          </w:tcPr>
          <w:p>
            <w:pPr>
              <w:spacing w:after="0"/>
              <w:rPr>
                <w:sz w:val="18"/>
                <w:szCs w:val="18"/>
                <w:color w:val="auto"/>
              </w:rPr>
            </w:pPr>
          </w:p>
        </w:tc>
        <w:tc>
          <w:tcPr>
            <w:tcW w:w="1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shd w:val="clear" w:color="auto" w:fill="CCEEFF"/>
          </w:tcPr>
          <w:p>
            <w:pPr>
              <w:ind w:left="700"/>
              <w:spacing w:after="0"/>
              <w:rPr>
                <w:sz w:val="20"/>
                <w:szCs w:val="20"/>
                <w:color w:val="auto"/>
              </w:rPr>
            </w:pPr>
            <w:r>
              <w:rPr>
                <w:rFonts w:ascii="Arial" w:cs="Arial" w:eastAsia="Arial" w:hAnsi="Arial"/>
                <w:sz w:val="18"/>
                <w:szCs w:val="18"/>
                <w:color w:val="auto"/>
              </w:rPr>
              <w:t>Basic and diluted</w:t>
            </w:r>
          </w:p>
        </w:tc>
        <w:tc>
          <w:tcPr>
            <w:tcW w:w="1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17,926,315</w:t>
            </w:r>
          </w:p>
        </w:tc>
        <w:tc>
          <w:tcPr>
            <w:tcW w:w="200" w:type="dxa"/>
            <w:vAlign w:val="bottom"/>
            <w:shd w:val="clear" w:color="auto" w:fill="CCEEFF"/>
          </w:tcPr>
          <w:p>
            <w:pPr>
              <w:spacing w:after="0"/>
              <w:rPr>
                <w:sz w:val="18"/>
                <w:szCs w:val="18"/>
                <w:color w:val="auto"/>
              </w:rPr>
            </w:pPr>
          </w:p>
        </w:tc>
        <w:tc>
          <w:tcPr>
            <w:tcW w:w="100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9,799,328</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13,711,034</w:t>
            </w:r>
          </w:p>
        </w:tc>
        <w:tc>
          <w:tcPr>
            <w:tcW w:w="220" w:type="dxa"/>
            <w:vAlign w:val="bottom"/>
            <w:shd w:val="clear" w:color="auto" w:fill="CCEEFF"/>
          </w:tcPr>
          <w:p>
            <w:pPr>
              <w:spacing w:after="0"/>
              <w:rPr>
                <w:sz w:val="18"/>
                <w:szCs w:val="18"/>
                <w:color w:val="auto"/>
              </w:rPr>
            </w:pPr>
          </w:p>
        </w:tc>
        <w:tc>
          <w:tcPr>
            <w:tcW w:w="9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8,727,935</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180" w:type="dxa"/>
            <w:vAlign w:val="bottom"/>
            <w:gridSpan w:val="2"/>
            <w:vMerge w:val="restart"/>
          </w:tcPr>
          <w:p>
            <w:pPr>
              <w:spacing w:after="0"/>
              <w:rPr>
                <w:sz w:val="20"/>
                <w:szCs w:val="20"/>
                <w:color w:val="auto"/>
              </w:rPr>
            </w:pPr>
            <w:r>
              <w:rPr>
                <w:rFonts w:ascii="Arial" w:cs="Arial" w:eastAsia="Arial" w:hAnsi="Arial"/>
                <w:sz w:val="15"/>
                <w:szCs w:val="15"/>
                <w:color w:val="auto"/>
              </w:rPr>
              <w:t xml:space="preserve">(1)   </w:t>
            </w:r>
            <w:r>
              <w:rPr>
                <w:rFonts w:ascii="Arial" w:cs="Arial" w:eastAsia="Arial" w:hAnsi="Arial"/>
                <w:sz w:val="18"/>
                <w:szCs w:val="18"/>
                <w:color w:val="auto"/>
              </w:rPr>
              <w:t>Includes stock-based compensation expense of:</w:t>
            </w:r>
          </w:p>
        </w:tc>
        <w:tc>
          <w:tcPr>
            <w:tcW w:w="1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6"/>
        </w:trPr>
        <w:tc>
          <w:tcPr>
            <w:tcW w:w="5180" w:type="dxa"/>
            <w:vAlign w:val="bottom"/>
            <w:gridSpan w:val="2"/>
            <w:vMerge w:val="continue"/>
          </w:tcPr>
          <w:p>
            <w:pPr>
              <w:spacing w:after="0"/>
              <w:rPr>
                <w:sz w:val="24"/>
                <w:szCs w:val="24"/>
                <w:color w:val="auto"/>
              </w:rPr>
            </w:pPr>
          </w:p>
        </w:tc>
        <w:tc>
          <w:tcPr>
            <w:tcW w:w="1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2"/>
        </w:trPr>
        <w:tc>
          <w:tcPr>
            <w:tcW w:w="20" w:type="dxa"/>
            <w:vAlign w:val="bottom"/>
          </w:tcPr>
          <w:p>
            <w:pPr>
              <w:spacing w:after="0"/>
              <w:rPr>
                <w:sz w:val="24"/>
                <w:szCs w:val="24"/>
                <w:color w:val="auto"/>
              </w:rPr>
            </w:pPr>
          </w:p>
        </w:tc>
        <w:tc>
          <w:tcPr>
            <w:tcW w:w="5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40" w:type="dxa"/>
            <w:vAlign w:val="bottom"/>
            <w:gridSpan w:val="6"/>
          </w:tcPr>
          <w:p>
            <w:pPr>
              <w:jc w:val="center"/>
              <w:ind w:right="320"/>
              <w:spacing w:after="0"/>
              <w:rPr>
                <w:sz w:val="20"/>
                <w:szCs w:val="20"/>
                <w:color w:val="auto"/>
              </w:rPr>
            </w:pPr>
            <w:r>
              <w:rPr>
                <w:rFonts w:ascii="Arial" w:cs="Arial" w:eastAsia="Arial" w:hAnsi="Arial"/>
                <w:sz w:val="14"/>
                <w:szCs w:val="14"/>
                <w:b w:val="1"/>
                <w:bCs w:val="1"/>
                <w:color w:val="auto"/>
                <w:w w:val="95"/>
              </w:rPr>
              <w:t>Three Months Ended</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20" w:type="dxa"/>
            <w:vAlign w:val="bottom"/>
            <w:gridSpan w:val="4"/>
          </w:tcPr>
          <w:p>
            <w:pPr>
              <w:jc w:val="center"/>
              <w:ind w:left="416"/>
              <w:spacing w:after="0"/>
              <w:rPr>
                <w:sz w:val="20"/>
                <w:szCs w:val="20"/>
                <w:color w:val="auto"/>
              </w:rPr>
            </w:pPr>
            <w:r>
              <w:rPr>
                <w:rFonts w:ascii="Arial" w:cs="Arial" w:eastAsia="Arial" w:hAnsi="Arial"/>
                <w:sz w:val="14"/>
                <w:szCs w:val="14"/>
                <w:b w:val="1"/>
                <w:bCs w:val="1"/>
                <w:color w:val="auto"/>
                <w:w w:val="93"/>
              </w:rPr>
              <w:t>Year Ended</w:t>
            </w: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516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gridSpan w:val="4"/>
          </w:tcPr>
          <w:p>
            <w:pPr>
              <w:jc w:val="center"/>
              <w:ind w:left="416"/>
              <w:spacing w:after="0"/>
              <w:rPr>
                <w:sz w:val="20"/>
                <w:szCs w:val="20"/>
                <w:color w:val="auto"/>
              </w:rPr>
            </w:pPr>
            <w:r>
              <w:rPr>
                <w:rFonts w:ascii="Arial" w:cs="Arial" w:eastAsia="Arial" w:hAnsi="Arial"/>
                <w:sz w:val="14"/>
                <w:szCs w:val="14"/>
                <w:b w:val="1"/>
                <w:bCs w:val="1"/>
                <w:color w:val="auto"/>
                <w:w w:val="92"/>
              </w:rPr>
              <w:t>December 31,</w:t>
            </w:r>
          </w:p>
        </w:tc>
        <w:tc>
          <w:tcPr>
            <w:tcW w:w="600" w:type="dxa"/>
            <w:vAlign w:val="bottom"/>
            <w:tcBorders>
              <w:bottom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420" w:type="dxa"/>
            <w:vAlign w:val="bottom"/>
            <w:tcBorders>
              <w:bottom w:val="single" w:sz="8" w:color="auto"/>
            </w:tcBorders>
            <w:gridSpan w:val="4"/>
          </w:tcPr>
          <w:p>
            <w:pPr>
              <w:jc w:val="center"/>
              <w:ind w:left="416"/>
              <w:spacing w:after="0"/>
              <w:rPr>
                <w:sz w:val="20"/>
                <w:szCs w:val="20"/>
                <w:color w:val="auto"/>
              </w:rPr>
            </w:pPr>
            <w:r>
              <w:rPr>
                <w:rFonts w:ascii="Arial" w:cs="Arial" w:eastAsia="Arial" w:hAnsi="Arial"/>
                <w:sz w:val="14"/>
                <w:szCs w:val="14"/>
                <w:b w:val="1"/>
                <w:bCs w:val="1"/>
                <w:color w:val="auto"/>
                <w:w w:val="92"/>
              </w:rPr>
              <w:t>December 31,</w:t>
            </w:r>
          </w:p>
        </w:tc>
        <w:tc>
          <w:tcPr>
            <w:tcW w:w="60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160" w:type="dxa"/>
            <w:vAlign w:val="bottom"/>
            <w:tcBorders>
              <w:bottom w:val="single" w:sz="8" w:color="CCEEFF"/>
            </w:tcBorders>
          </w:tcPr>
          <w:p>
            <w:pPr>
              <w:spacing w:after="0"/>
              <w:rPr>
                <w:sz w:val="12"/>
                <w:szCs w:val="12"/>
                <w:color w:val="auto"/>
              </w:rPr>
            </w:pPr>
          </w:p>
        </w:tc>
        <w:tc>
          <w:tcPr>
            <w:tcW w:w="1160" w:type="dxa"/>
            <w:vAlign w:val="bottom"/>
            <w:tcBorders>
              <w:bottom w:val="single" w:sz="8" w:color="CCEEFF"/>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jc w:val="right"/>
              <w:ind w:right="236"/>
              <w:spacing w:after="0" w:line="142" w:lineRule="exact"/>
              <w:rPr>
                <w:sz w:val="20"/>
                <w:szCs w:val="20"/>
                <w:color w:val="auto"/>
              </w:rPr>
            </w:pPr>
            <w:r>
              <w:rPr>
                <w:rFonts w:ascii="Arial" w:cs="Arial" w:eastAsia="Arial" w:hAnsi="Arial"/>
                <w:sz w:val="14"/>
                <w:szCs w:val="14"/>
                <w:b w:val="1"/>
                <w:bCs w:val="1"/>
                <w:color w:val="auto"/>
              </w:rPr>
              <w:t>2018</w:t>
            </w:r>
          </w:p>
        </w:tc>
        <w:tc>
          <w:tcPr>
            <w:tcW w:w="200" w:type="dxa"/>
            <w:vAlign w:val="bottom"/>
            <w:tcBorders>
              <w:bottom w:val="single" w:sz="8" w:color="CCEEFF"/>
            </w:tcBorders>
          </w:tcPr>
          <w:p>
            <w:pPr>
              <w:spacing w:after="0"/>
              <w:rPr>
                <w:sz w:val="12"/>
                <w:szCs w:val="12"/>
                <w:color w:val="auto"/>
              </w:rPr>
            </w:pPr>
          </w:p>
        </w:tc>
        <w:tc>
          <w:tcPr>
            <w:tcW w:w="180" w:type="dxa"/>
            <w:vAlign w:val="bottom"/>
            <w:tcBorders>
              <w:bottom w:val="single" w:sz="8" w:color="CCEEFF"/>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jc w:val="right"/>
              <w:ind w:right="193"/>
              <w:spacing w:after="0" w:line="142" w:lineRule="exact"/>
              <w:rPr>
                <w:sz w:val="20"/>
                <w:szCs w:val="20"/>
                <w:color w:val="auto"/>
              </w:rPr>
            </w:pPr>
            <w:r>
              <w:rPr>
                <w:rFonts w:ascii="Arial" w:cs="Arial" w:eastAsia="Arial" w:hAnsi="Arial"/>
                <w:sz w:val="14"/>
                <w:szCs w:val="14"/>
                <w:b w:val="1"/>
                <w:bCs w:val="1"/>
                <w:color w:val="auto"/>
                <w:w w:val="96"/>
              </w:rPr>
              <w:t>2017</w:t>
            </w:r>
          </w:p>
        </w:tc>
        <w:tc>
          <w:tcPr>
            <w:tcW w:w="220" w:type="dxa"/>
            <w:vAlign w:val="bottom"/>
            <w:tcBorders>
              <w:bottom w:val="single" w:sz="8" w:color="CCEEFF"/>
            </w:tcBorders>
          </w:tcPr>
          <w:p>
            <w:pPr>
              <w:spacing w:after="0"/>
              <w:rPr>
                <w:sz w:val="12"/>
                <w:szCs w:val="12"/>
                <w:color w:val="auto"/>
              </w:rPr>
            </w:pPr>
          </w:p>
        </w:tc>
        <w:tc>
          <w:tcPr>
            <w:tcW w:w="160" w:type="dxa"/>
            <w:vAlign w:val="bottom"/>
            <w:tcBorders>
              <w:bottom w:val="single" w:sz="8" w:color="CCEEFF"/>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jc w:val="right"/>
              <w:ind w:right="236"/>
              <w:spacing w:after="0" w:line="142" w:lineRule="exact"/>
              <w:rPr>
                <w:sz w:val="20"/>
                <w:szCs w:val="20"/>
                <w:color w:val="auto"/>
              </w:rPr>
            </w:pPr>
            <w:r>
              <w:rPr>
                <w:rFonts w:ascii="Arial" w:cs="Arial" w:eastAsia="Arial" w:hAnsi="Arial"/>
                <w:sz w:val="14"/>
                <w:szCs w:val="14"/>
                <w:b w:val="1"/>
                <w:bCs w:val="1"/>
                <w:color w:val="auto"/>
              </w:rPr>
              <w:t>2018</w:t>
            </w:r>
          </w:p>
        </w:tc>
        <w:tc>
          <w:tcPr>
            <w:tcW w:w="220" w:type="dxa"/>
            <w:vAlign w:val="bottom"/>
            <w:tcBorders>
              <w:bottom w:val="single" w:sz="8" w:color="CCEEFF"/>
            </w:tcBorders>
          </w:tcPr>
          <w:p>
            <w:pPr>
              <w:spacing w:after="0"/>
              <w:rPr>
                <w:sz w:val="12"/>
                <w:szCs w:val="12"/>
                <w:color w:val="auto"/>
              </w:rPr>
            </w:pPr>
          </w:p>
        </w:tc>
        <w:tc>
          <w:tcPr>
            <w:tcW w:w="160" w:type="dxa"/>
            <w:vAlign w:val="bottom"/>
            <w:tcBorders>
              <w:bottom w:val="single" w:sz="8" w:color="CCEEFF"/>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jc w:val="right"/>
              <w:ind w:right="193"/>
              <w:spacing w:after="0" w:line="142" w:lineRule="exact"/>
              <w:rPr>
                <w:sz w:val="20"/>
                <w:szCs w:val="20"/>
                <w:color w:val="auto"/>
              </w:rPr>
            </w:pPr>
            <w:r>
              <w:rPr>
                <w:rFonts w:ascii="Arial" w:cs="Arial" w:eastAsia="Arial" w:hAnsi="Arial"/>
                <w:sz w:val="14"/>
                <w:szCs w:val="14"/>
                <w:b w:val="1"/>
                <w:bCs w:val="1"/>
                <w:color w:val="auto"/>
                <w:w w:val="96"/>
              </w:rPr>
              <w:t>2017</w:t>
            </w:r>
          </w:p>
        </w:tc>
        <w:tc>
          <w:tcPr>
            <w:tcW w:w="120" w:type="dxa"/>
            <w:vAlign w:val="bottom"/>
            <w:tcBorders>
              <w:bottom w:val="single" w:sz="8" w:color="CCEEFF"/>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160" w:type="dxa"/>
            <w:vAlign w:val="bottom"/>
            <w:shd w:val="clear" w:color="auto" w:fill="CCEEFF"/>
          </w:tcPr>
          <w:p>
            <w:pPr>
              <w:ind w:left="340"/>
              <w:spacing w:after="0"/>
              <w:rPr>
                <w:sz w:val="20"/>
                <w:szCs w:val="20"/>
                <w:color w:val="auto"/>
              </w:rPr>
            </w:pPr>
            <w:r>
              <w:rPr>
                <w:rFonts w:ascii="Arial" w:cs="Arial" w:eastAsia="Arial" w:hAnsi="Arial"/>
                <w:sz w:val="18"/>
                <w:szCs w:val="18"/>
                <w:color w:val="auto"/>
              </w:rPr>
              <w:t>Research and development</w:t>
            </w:r>
          </w:p>
        </w:tc>
        <w:tc>
          <w:tcPr>
            <w:tcW w:w="116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362</w:t>
            </w:r>
          </w:p>
        </w:tc>
        <w:tc>
          <w:tcPr>
            <w:tcW w:w="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65"/>
              <w:spacing w:after="0"/>
              <w:rPr>
                <w:sz w:val="20"/>
                <w:szCs w:val="20"/>
                <w:color w:val="auto"/>
              </w:rPr>
            </w:pPr>
            <w:r>
              <w:rPr>
                <w:rFonts w:ascii="Arial" w:cs="Arial" w:eastAsia="Arial" w:hAnsi="Arial"/>
                <w:sz w:val="15"/>
                <w:szCs w:val="15"/>
                <w:color w:val="auto"/>
                <w:w w:val="71"/>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443</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1,500</w:t>
            </w:r>
          </w:p>
        </w:tc>
        <w:tc>
          <w:tcPr>
            <w:tcW w:w="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65"/>
              <w:spacing w:after="0"/>
              <w:rPr>
                <w:sz w:val="20"/>
                <w:szCs w:val="20"/>
                <w:color w:val="auto"/>
              </w:rPr>
            </w:pPr>
            <w:r>
              <w:rPr>
                <w:rFonts w:ascii="Arial" w:cs="Arial" w:eastAsia="Arial" w:hAnsi="Arial"/>
                <w:sz w:val="15"/>
                <w:szCs w:val="15"/>
                <w:color w:val="auto"/>
                <w:w w:val="71"/>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1,214</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160" w:type="dxa"/>
            <w:vAlign w:val="bottom"/>
          </w:tcPr>
          <w:p>
            <w:pPr>
              <w:ind w:left="340"/>
              <w:spacing w:after="0"/>
              <w:rPr>
                <w:sz w:val="20"/>
                <w:szCs w:val="20"/>
                <w:color w:val="auto"/>
              </w:rPr>
            </w:pPr>
            <w:r>
              <w:rPr>
                <w:rFonts w:ascii="Arial" w:cs="Arial" w:eastAsia="Arial" w:hAnsi="Arial"/>
                <w:sz w:val="18"/>
                <w:szCs w:val="18"/>
                <w:color w:val="auto"/>
              </w:rPr>
              <w:t>General and administrative</w:t>
            </w:r>
          </w:p>
        </w:tc>
        <w:tc>
          <w:tcPr>
            <w:tcW w:w="116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1,149</w:t>
            </w: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577</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3,507</w:t>
            </w: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3,029</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60" w:type="dxa"/>
            <w:vAlign w:val="bottom"/>
            <w:shd w:val="clear" w:color="auto" w:fill="CCEEFF"/>
          </w:tcPr>
          <w:p>
            <w:pPr>
              <w:ind w:left="1060"/>
              <w:spacing w:after="0"/>
              <w:rPr>
                <w:sz w:val="20"/>
                <w:szCs w:val="20"/>
                <w:color w:val="auto"/>
              </w:rPr>
            </w:pPr>
            <w:r>
              <w:rPr>
                <w:rFonts w:ascii="Arial" w:cs="Arial" w:eastAsia="Arial" w:hAnsi="Arial"/>
                <w:sz w:val="18"/>
                <w:szCs w:val="18"/>
                <w:color w:val="auto"/>
              </w:rPr>
              <w:t>Total stock-based compensation expense</w:t>
            </w:r>
          </w:p>
        </w:tc>
        <w:tc>
          <w:tcPr>
            <w:tcW w:w="1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1,511</w:t>
            </w:r>
          </w:p>
        </w:tc>
        <w:tc>
          <w:tcPr>
            <w:tcW w:w="200" w:type="dxa"/>
            <w:vAlign w:val="bottom"/>
            <w:shd w:val="clear" w:color="auto" w:fill="CCEEFF"/>
          </w:tcPr>
          <w:p>
            <w:pPr>
              <w:spacing w:after="0"/>
              <w:rPr>
                <w:sz w:val="18"/>
                <w:szCs w:val="18"/>
                <w:color w:val="auto"/>
              </w:rPr>
            </w:pPr>
          </w:p>
        </w:tc>
        <w:tc>
          <w:tcPr>
            <w:tcW w:w="400" w:type="dxa"/>
            <w:vAlign w:val="bottom"/>
            <w:gridSpan w:val="2"/>
            <w:shd w:val="clear" w:color="auto" w:fill="CCEEFF"/>
          </w:tcPr>
          <w:p>
            <w:pPr>
              <w:jc w:val="right"/>
              <w:ind w:right="65"/>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1,020</w:t>
            </w:r>
          </w:p>
        </w:tc>
        <w:tc>
          <w:tcPr>
            <w:tcW w:w="220" w:type="dxa"/>
            <w:vAlign w:val="bottom"/>
            <w:shd w:val="clear" w:color="auto" w:fill="CCEEFF"/>
          </w:tcPr>
          <w:p>
            <w:pPr>
              <w:spacing w:after="0"/>
              <w:rPr>
                <w:sz w:val="18"/>
                <w:szCs w:val="18"/>
                <w:color w:val="auto"/>
              </w:rPr>
            </w:pP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5,007</w:t>
            </w:r>
          </w:p>
        </w:tc>
        <w:tc>
          <w:tcPr>
            <w:tcW w:w="220" w:type="dxa"/>
            <w:vAlign w:val="bottom"/>
            <w:shd w:val="clear" w:color="auto" w:fill="CCEEFF"/>
          </w:tcPr>
          <w:p>
            <w:pPr>
              <w:spacing w:after="0"/>
              <w:rPr>
                <w:sz w:val="18"/>
                <w:szCs w:val="18"/>
                <w:color w:val="auto"/>
              </w:rPr>
            </w:pPr>
          </w:p>
        </w:tc>
        <w:tc>
          <w:tcPr>
            <w:tcW w:w="380" w:type="dxa"/>
            <w:vAlign w:val="bottom"/>
            <w:gridSpan w:val="2"/>
            <w:shd w:val="clear" w:color="auto" w:fill="CCEEFF"/>
          </w:tcPr>
          <w:p>
            <w:pPr>
              <w:jc w:val="right"/>
              <w:ind w:right="65"/>
              <w:spacing w:after="0"/>
              <w:rPr>
                <w:sz w:val="20"/>
                <w:szCs w:val="20"/>
                <w:color w:val="auto"/>
              </w:rPr>
            </w:pPr>
            <w:r>
              <w:rPr>
                <w:rFonts w:ascii="Arial" w:cs="Arial" w:eastAsia="Arial" w:hAnsi="Arial"/>
                <w:sz w:val="18"/>
                <w:szCs w:val="18"/>
                <w:color w:val="auto"/>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4,243</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 w:lineRule="exact"/>
        <w:rPr>
          <w:sz w:val="20"/>
          <w:szCs w:val="20"/>
          <w:color w:val="auto"/>
        </w:rPr>
      </w:pPr>
    </w:p>
    <w:sectPr>
      <w:pgSz w:w="11900" w:h="16838" w:orient="portrait"/>
      <w:cols w:equalWidth="0" w:num="1">
        <w:col w:w="11040"/>
      </w:cols>
      <w:pgMar w:left="440" w:top="270" w:right="4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EB141F2"/>
    <w:multiLevelType w:val="hybridMultilevel"/>
    <w:lvl w:ilvl="0">
      <w:lvlJc w:val="left"/>
      <w:lvlText w:val="☐"/>
      <w:numFmt w:val="bullet"/>
      <w:start w:val="1"/>
    </w:lvl>
  </w:abstractNum>
  <w:abstractNum w:abstractNumId="1">
    <w:nsid w:val="41B71EFB"/>
    <w:multiLevelType w:val="hybridMultilevel"/>
    <w:lvl w:ilvl="0">
      <w:lvlJc w:val="left"/>
      <w:lvlText w:val="(%1)"/>
      <w:numFmt w:val="decimal"/>
      <w:start w:val="2"/>
    </w:lvl>
  </w:abstractNum>
  <w:abstractNum w:abstractNumId="2">
    <w:nsid w:val="79E2A9E3"/>
    <w:multiLevelType w:val="hybridMultilevel"/>
    <w:lvl w:ilvl="0">
      <w:lvlJc w:val="left"/>
      <w:lvlText w:val="(%1)"/>
      <w:numFmt w:val="lowerLetter"/>
      <w:start w:val="4"/>
    </w:lvl>
  </w:abstractNum>
  <w:abstractNum w:abstractNumId="3">
    <w:nsid w:val="7545E146"/>
    <w:multiLevelType w:val="hybridMultilevel"/>
    <w:lvl w:ilvl="0">
      <w:lvlJc w:val="left"/>
      <w:lvlText w:val="-"/>
      <w:numFmt w:val="bullet"/>
      <w:start w:val="1"/>
    </w:lvl>
  </w:abstractNum>
  <w:abstractNum w:abstractNumId="4">
    <w:nsid w:val="515F007C"/>
    <w:multiLevelType w:val="hybridMultilevel"/>
    <w:lvl w:ilvl="0">
      <w:lvlJc w:val="left"/>
      <w:lvlText w:val="•"/>
      <w:numFmt w:val="bullet"/>
      <w:start w:val="1"/>
    </w:lvl>
  </w:abstractNum>
  <w:abstractNum w:abstractNumId="5">
    <w:nsid w:val="5BD062C2"/>
    <w:multiLevelType w:val="hybridMultilevel"/>
    <w:lvl w:ilvl="0">
      <w:lvlJc w:val="left"/>
      <w:lvlText w:val="•"/>
      <w:numFmt w:val="bullet"/>
      <w:start w:val="1"/>
    </w:lvl>
  </w:abstractNum>
  <w:abstractNum w:abstractNumId="6">
    <w:nsid w:val="12200854"/>
    <w:multiLevelType w:val="hybridMultilevel"/>
    <w:lvl w:ilvl="0">
      <w:lvlJc w:val="left"/>
      <w:lvlText w:val="•"/>
      <w:numFmt w:val="bullet"/>
      <w:start w:val="1"/>
    </w:lvl>
  </w:abstractNum>
  <w:abstractNum w:abstractNumId="7">
    <w:nsid w:val="4DB127F8"/>
    <w:multiLevelType w:val="hybridMultilevel"/>
    <w:lvl w:ilvl="0">
      <w:lvlJc w:val="left"/>
      <w:lvlText w:val="•"/>
      <w:numFmt w:val="bullet"/>
      <w:start w:val="1"/>
    </w:lvl>
  </w:abstractNum>
  <w:abstractNum w:abstractNumId="8">
    <w:nsid w:val="216231B"/>
    <w:multiLevelType w:val="hybridMultilevel"/>
    <w:lvl w:ilvl="0">
      <w:lvlJc w:val="left"/>
      <w:lvlText w:val="•"/>
      <w:numFmt w:val="bullet"/>
      <w:start w:val="1"/>
    </w:lvl>
  </w:abstractNum>
  <w:abstractNum w:abstractNumId="9">
    <w:nsid w:val="1F16E9E8"/>
    <w:multiLevelType w:val="hybridMultilevel"/>
    <w:lvl w:ilvl="0">
      <w:lvlJc w:val="left"/>
      <w:lvlText w:val="•"/>
      <w:numFmt w:val="bullet"/>
      <w:start w:val="1"/>
    </w:lvl>
  </w:abstractNum>
  <w:abstractNum w:abstractNumId="10">
    <w:nsid w:val="1190CDE7"/>
    <w:multiLevelType w:val="hybridMultilevel"/>
    <w:lvl w:ilvl="0">
      <w:lvlJc w:val="left"/>
      <w:lvlText w:val="•"/>
      <w:numFmt w:val="bullet"/>
      <w:start w:val="1"/>
    </w:lvl>
  </w:abstractNum>
  <w:abstractNum w:abstractNumId="11">
    <w:nsid w:val="66EF438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jpeg"/><Relationship Id="rId23" Type="http://schemas.openxmlformats.org/officeDocument/2006/relationships/image" Target="media/image16.pn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2019-12-28T14:14:13Z</dcterms:created>
  <dcterms:modified xsi:type="dcterms:W3CDTF">2019-12-28T14:14:13Z</dcterms:modified>
</cp:coreProperties>
</file>