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36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-233680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1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23495</wp:posOffset>
            </wp:positionV>
            <wp:extent cx="7046595" cy="47421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74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17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Atkisson Erik</w:t>
        </w:r>
      </w:hyperlink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C/O EIGER BIOPHARMACEUTICALS, INC.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2155 PARK BLVD.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rFonts w:ascii="Times New Roman" w:cs="Times New Roman" w:eastAsia="Times New Roman" w:hAnsi="Times New Roman"/>
          <w:sz w:val="20"/>
          <w:szCs w:val="20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Eiger BioPharmaceuticals, Inc.</w:t>
        </w:r>
        <w:r>
          <w:rPr>
            <w:rFonts w:ascii="Times New Roman" w:cs="Times New Roman" w:eastAsia="Times New Roman" w:hAnsi="Times New Roman"/>
            <w:sz w:val="20"/>
            <w:szCs w:val="20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[</w:t>
      </w:r>
      <w:r>
        <w:rPr>
          <w:rFonts w:ascii="Times New Roman" w:cs="Times New Roman" w:eastAsia="Times New Roman" w:hAnsi="Times New Roman"/>
          <w:sz w:val="20"/>
          <w:szCs w:val="20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5"/>
          <w:szCs w:val="15"/>
          <w:color w:val="0000FF"/>
        </w:rPr>
        <w:t>EIGR</w:t>
      </w:r>
      <w:r>
        <w:rPr>
          <w:rFonts w:ascii="Times New Roman" w:cs="Times New Roman" w:eastAsia="Times New Roman" w:hAnsi="Times New Roman"/>
          <w:sz w:val="20"/>
          <w:szCs w:val="20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]</w:t>
      </w: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01/26/2023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right="620"/>
        <w:spacing w:after="0" w:line="258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9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GC &amp; Chief Compliance Officer</w:t>
      </w: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20" w:space="600"/>
            <w:col w:w="3240" w:space="580"/>
            <w:col w:w="3340"/>
          </w:cols>
          <w:pgMar w:left="460" w:top="217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80" w:type="dxa"/>
            <w:vAlign w:val="bottom"/>
            <w:gridSpan w:val="8"/>
          </w:tcPr>
          <w:p>
            <w:pPr>
              <w:jc w:val="center"/>
              <w:ind w:right="41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4. If Amendment, Date of Original Filed (Month/Day/Year)</w:t>
            </w:r>
          </w:p>
        </w:tc>
        <w:tc>
          <w:tcPr>
            <w:tcW w:w="3640" w:type="dxa"/>
            <w:vAlign w:val="bottom"/>
            <w:gridSpan w:val="10"/>
          </w:tcPr>
          <w:p>
            <w:pPr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PALO ALTO</w:t>
            </w: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94306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jc w:val="center"/>
              <w:ind w:left="4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1.37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01/26/2023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26,750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01/26/2033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26,750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4"/>
              </w:rPr>
              <w:t>26,750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00FF"/>
        </w:rPr>
        <w:t>Buy)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40" w:right="200" w:firstLine="2"/>
        <w:spacing w:after="0" w:line="255" w:lineRule="auto"/>
        <w:tabs>
          <w:tab w:leader="none" w:pos="16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option vests as to 50% on the first anniversary of the January 26, 2023 grant date, and as to the remaining 50% on June 26, 2024, subject to the Reporting Person's continuous service as of each such date. The option vests in full upon a change in control of the Issuer.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6"/>
              </w:rPr>
              <w:t>/s/ Erik Atkisson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5"/>
              </w:rPr>
              <w:t>01/30/2023</w:t>
            </w:r>
          </w:p>
        </w:tc>
      </w:tr>
      <w:tr>
        <w:trPr>
          <w:trHeight w:val="226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6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7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885915" TargetMode="External"/><Relationship Id="rId13" Type="http://schemas.openxmlformats.org/officeDocument/2006/relationships/hyperlink" Target="http://www.sec.gov/cgi-bin/browse-edgar?action=getcompany&amp;CIK=000130525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2023-01-30T20:17:48Z</dcterms:created>
  <dcterms:modified xsi:type="dcterms:W3CDTF">2023-01-30T20:17:48Z</dcterms:modified>
</cp:coreProperties>
</file>