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Pursuant to Section 13 or 15(d)</w:t>
      </w:r>
    </w:p>
    <w:p>
      <w:pPr>
        <w:jc w:val="center"/>
        <w:ind w:right="-7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Date of Report (Date of earliest event reported): March 12,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234315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ind w:right="-79"/>
        <w:spacing w:after="0"/>
        <w:rPr>
          <w:sz w:val="20"/>
          <w:szCs w:val="20"/>
          <w:color w:val="auto"/>
        </w:rPr>
      </w:pPr>
      <w:r>
        <w:rPr>
          <w:rFonts w:ascii="Arial" w:cs="Arial" w:eastAsia="Arial" w:hAnsi="Arial"/>
          <w:sz w:val="43"/>
          <w:szCs w:val="43"/>
          <w:b w:val="1"/>
          <w:bCs w:val="1"/>
          <w:color w:val="auto"/>
        </w:rPr>
        <w:t>EIGER BIOPHARMACEUTICALS, INC.</w:t>
      </w:r>
    </w:p>
    <w:p>
      <w:pPr>
        <w:spacing w:after="0" w:line="50"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236220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360"/>
          </w:cols>
          <w:pgMar w:left="240" w:top="368" w:right="29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200"/>
        <w:spacing w:after="0"/>
        <w:rPr>
          <w:sz w:val="20"/>
          <w:szCs w:val="20"/>
          <w:color w:val="auto"/>
        </w:rPr>
      </w:pPr>
      <w:r>
        <w:rPr>
          <w:rFonts w:ascii="Arial" w:cs="Arial" w:eastAsia="Arial" w:hAnsi="Arial"/>
          <w:sz w:val="16"/>
          <w:szCs w:val="16"/>
          <w:b w:val="1"/>
          <w:bCs w:val="1"/>
          <w:color w:val="auto"/>
        </w:rPr>
        <w:t>001-36183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33-0971591</w:t>
      </w:r>
    </w:p>
    <w:p>
      <w:pPr>
        <w:spacing w:after="0" w:line="43" w:lineRule="exact"/>
        <w:rPr>
          <w:sz w:val="24"/>
          <w:szCs w:val="24"/>
          <w:color w:val="auto"/>
        </w:rPr>
      </w:pPr>
    </w:p>
    <w:p>
      <w:pPr>
        <w:sectPr>
          <w:pgSz w:w="11900" w:h="16838" w:orient="portrait"/>
          <w:cols w:equalWidth="0" w:num="3">
            <w:col w:w="4740" w:space="720"/>
            <w:col w:w="2980" w:space="720"/>
            <w:col w:w="2200"/>
          </w:cols>
          <w:pgMar w:left="240" w:top="368" w:right="299" w:bottom="1440" w:gutter="0" w:footer="0" w:header="0"/>
          <w:type w:val="continuous"/>
        </w:sectPr>
      </w:pPr>
    </w:p>
    <w:p>
      <w:pPr>
        <w:jc w:val="center"/>
        <w:ind w:right="820"/>
        <w:spacing w:after="0"/>
        <w:rPr>
          <w:sz w:val="20"/>
          <w:szCs w:val="20"/>
          <w:color w:val="auto"/>
        </w:rPr>
      </w:pPr>
      <w:r>
        <w:rPr>
          <w:rFonts w:ascii="Arial" w:cs="Arial" w:eastAsia="Arial" w:hAnsi="Arial"/>
          <w:sz w:val="13"/>
          <w:szCs w:val="13"/>
          <w:b w:val="1"/>
          <w:bCs w:val="1"/>
          <w:color w:val="auto"/>
        </w:rPr>
        <w:t>(State or other jurisdiction</w:t>
      </w:r>
    </w:p>
    <w:p>
      <w:pPr>
        <w:jc w:val="center"/>
        <w:ind w:right="820"/>
        <w:spacing w:after="0"/>
        <w:rPr>
          <w:sz w:val="20"/>
          <w:szCs w:val="20"/>
          <w:color w:val="auto"/>
        </w:rPr>
      </w:pPr>
      <w:r>
        <w:rPr>
          <w:rFonts w:ascii="Arial" w:cs="Arial" w:eastAsia="Arial" w:hAnsi="Arial"/>
          <w:sz w:val="14"/>
          <w:szCs w:val="14"/>
          <w:b w:val="1"/>
          <w:bCs w:val="1"/>
          <w:color w:val="auto"/>
        </w:rPr>
        <w:t>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3"/>
          <w:szCs w:val="13"/>
          <w:b w:val="1"/>
          <w:bCs w:val="1"/>
          <w:color w:val="auto"/>
        </w:rPr>
        <w:t>(IRS Employer of</w:t>
      </w:r>
    </w:p>
    <w:p>
      <w:pPr>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700" w:space="720"/>
            <w:col w:w="2900" w:space="720"/>
            <w:col w:w="2320"/>
          </w:cols>
          <w:pgMar w:left="240" w:top="368" w:right="299" w:bottom="1440" w:gutter="0" w:footer="0" w:header="0"/>
          <w:type w:val="continuous"/>
        </w:sectPr>
      </w:pPr>
    </w:p>
    <w:p>
      <w:pPr>
        <w:spacing w:after="0" w:line="6"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350 Cambridge Avenue</w:t>
      </w:r>
    </w:p>
    <w:p>
      <w:pPr>
        <w:spacing w:after="0" w:line="9"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Palo Alto, California 94306</w:t>
      </w:r>
    </w:p>
    <w:p>
      <w:pPr>
        <w:spacing w:after="0" w:line="2" w:lineRule="exact"/>
        <w:rPr>
          <w:sz w:val="24"/>
          <w:szCs w:val="24"/>
          <w:color w:val="auto"/>
        </w:rPr>
      </w:pPr>
    </w:p>
    <w:p>
      <w:pPr>
        <w:jc w:val="center"/>
        <w:ind w:right="-79"/>
        <w:spacing w:after="0"/>
        <w:rPr>
          <w:sz w:val="20"/>
          <w:szCs w:val="20"/>
          <w:color w:val="auto"/>
        </w:rPr>
      </w:pPr>
      <w:r>
        <w:rPr>
          <w:rFonts w:ascii="Arial" w:cs="Arial" w:eastAsia="Arial" w:hAnsi="Arial"/>
          <w:sz w:val="13"/>
          <w:szCs w:val="13"/>
          <w:b w:val="1"/>
          <w:bCs w:val="1"/>
          <w:color w:val="auto"/>
        </w:rPr>
        <w:t>(Address of principal executive offices, including zip code)</w:t>
      </w:r>
    </w:p>
    <w:p>
      <w:pPr>
        <w:spacing w:after="0" w:line="204"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(650) 272-6138</w:t>
      </w:r>
    </w:p>
    <w:p>
      <w:pPr>
        <w:spacing w:after="0" w:line="21"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92"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79"/>
        <w:spacing w:after="0"/>
        <w:rPr>
          <w:sz w:val="20"/>
          <w:szCs w:val="20"/>
          <w:color w:val="auto"/>
        </w:rPr>
      </w:pPr>
      <w:r>
        <w:rPr>
          <w:rFonts w:ascii="Arial" w:cs="Arial" w:eastAsia="Arial" w:hAnsi="Arial"/>
          <w:sz w:val="12"/>
          <w:szCs w:val="12"/>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242570</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360"/>
          </w:cols>
          <w:pgMar w:left="240" w:top="368" w:right="299" w:bottom="1440" w:gutter="0" w:footer="0" w:header="0"/>
          <w:type w:val="continuous"/>
        </w:sectPr>
      </w:pPr>
    </w:p>
    <w:p>
      <w:pPr>
        <w:spacing w:after="0" w:line="200" w:lineRule="exact"/>
        <w:rPr>
          <w:sz w:val="24"/>
          <w:szCs w:val="24"/>
          <w:color w:val="auto"/>
        </w:rPr>
      </w:pPr>
    </w:p>
    <w:p>
      <w:pPr>
        <w:spacing w:after="0" w:line="397" w:lineRule="exact"/>
        <w:rPr>
          <w:sz w:val="24"/>
          <w:szCs w:val="24"/>
          <w:color w:val="auto"/>
        </w:rPr>
      </w:pPr>
    </w:p>
    <w:p>
      <w:pPr>
        <w:ind w:right="340" w:firstLine="456"/>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133350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40" w:top="368" w:right="299" w:bottom="1440" w:gutter="0" w:footer="0" w:header="0"/>
          <w:type w:val="continuous"/>
        </w:sectPr>
      </w:pPr>
    </w:p>
    <w:bookmarkStart w:id="1" w:name="page2"/>
    <w:bookmarkEnd w:id="1"/>
    <w:p>
      <w:pPr>
        <w:spacing w:after="0"/>
        <w:tabs>
          <w:tab w:leader="none" w:pos="136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ind w:firstLine="913"/>
        <w:spacing w:after="0" w:line="264" w:lineRule="auto"/>
        <w:rPr>
          <w:sz w:val="20"/>
          <w:szCs w:val="20"/>
          <w:color w:val="auto"/>
        </w:rPr>
      </w:pPr>
      <w:r>
        <w:rPr>
          <w:rFonts w:ascii="Arial" w:cs="Arial" w:eastAsia="Arial" w:hAnsi="Arial"/>
          <w:sz w:val="18"/>
          <w:szCs w:val="18"/>
          <w:color w:val="auto"/>
        </w:rPr>
        <w:t>On March 12, 2018, Eiger BioPharmaceuticals, Inc. reported its financial results for the quarter and year ended December 31, 2017. A copy of the press release titled “Eiger BioPharmaceuticals Reports Fourth Quarter and Full Year 2017 Financial Results,” is furnished pursuant to Item 2.02 as Exhibit 99.1 hereto and is incorporated herein by reference.</w:t>
      </w:r>
    </w:p>
    <w:p>
      <w:pPr>
        <w:spacing w:after="0" w:line="181" w:lineRule="exact"/>
        <w:rPr>
          <w:sz w:val="20"/>
          <w:szCs w:val="20"/>
          <w:color w:val="auto"/>
        </w:rPr>
      </w:pPr>
    </w:p>
    <w:p>
      <w:pPr>
        <w:ind w:firstLine="913"/>
        <w:spacing w:after="0" w:line="276" w:lineRule="auto"/>
        <w:rPr>
          <w:sz w:val="20"/>
          <w:szCs w:val="20"/>
          <w:color w:val="auto"/>
        </w:rPr>
      </w:pPr>
      <w:r>
        <w:rPr>
          <w:rFonts w:ascii="Arial" w:cs="Arial" w:eastAsia="Arial" w:hAnsi="Arial"/>
          <w:sz w:val="17"/>
          <w:szCs w:val="17"/>
          <w:color w:val="auto"/>
        </w:rPr>
        <w:t>The information in this item 2.02 and in the press release attached as Exhibit 99.1 to this Current Report on Form 8-K shall not be deemed to be “filed” for purposes of Section 18 of the Securities Exchange Act of 1934, as amended, or otherwise subject to the liabilities of that Section 11 and 12(a)(2) of the Securities Act of 1933, as amended. The information in this item 2.02 and in the press release attached as Exhibit 99.1 to this Current Report on Form 8-K shall not be incorporated by reference into any filing with the U.S. Securities and Exchange Commission made by Eiger BioPharmaceuticals, Inc., whether made before or after the date hereof, regardless of any general incorporation language in such filing.</w:t>
      </w:r>
    </w:p>
    <w:p>
      <w:pPr>
        <w:spacing w:after="0" w:line="317"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Exhibits.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 w:type="dxa"/>
            <w:vAlign w:val="bottom"/>
          </w:tcPr>
          <w:p>
            <w:pPr>
              <w:spacing w:after="0"/>
              <w:rPr>
                <w:sz w:val="20"/>
                <w:szCs w:val="20"/>
                <w:color w:val="auto"/>
              </w:rPr>
            </w:pPr>
            <w:r>
              <w:rPr>
                <w:rFonts w:ascii="Arial" w:cs="Arial" w:eastAsia="Arial" w:hAnsi="Arial"/>
                <w:sz w:val="14"/>
                <w:szCs w:val="14"/>
                <w:b w:val="1"/>
                <w:bCs w:val="1"/>
                <w:color w:val="auto"/>
                <w:w w:val="94"/>
              </w:rPr>
              <w:t>Exhibit</w:t>
            </w:r>
          </w:p>
        </w:tc>
        <w:tc>
          <w:tcPr>
            <w:tcW w:w="560" w:type="dxa"/>
            <w:vAlign w:val="bottom"/>
          </w:tcPr>
          <w:p>
            <w:pPr>
              <w:spacing w:after="0"/>
              <w:rPr>
                <w:sz w:val="14"/>
                <w:szCs w:val="14"/>
                <w:color w:val="auto"/>
              </w:rPr>
            </w:pPr>
          </w:p>
        </w:tc>
        <w:tc>
          <w:tcPr>
            <w:tcW w:w="4840" w:type="dxa"/>
            <w:vAlign w:val="bottom"/>
            <w:vMerge w:val="restart"/>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4"/>
                <w:szCs w:val="14"/>
                <w:b w:val="1"/>
                <w:bCs w:val="1"/>
                <w:color w:val="auto"/>
                <w:w w:val="90"/>
              </w:rPr>
              <w:t>Description</w:t>
            </w:r>
          </w:p>
        </w:tc>
        <w:tc>
          <w:tcPr>
            <w:tcW w:w="406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6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No.</w:t>
            </w:r>
          </w:p>
        </w:tc>
        <w:tc>
          <w:tcPr>
            <w:tcW w:w="560" w:type="dxa"/>
            <w:vAlign w:val="bottom"/>
          </w:tcPr>
          <w:p>
            <w:pPr>
              <w:spacing w:after="0"/>
              <w:rPr>
                <w:sz w:val="14"/>
                <w:szCs w:val="14"/>
                <w:color w:val="auto"/>
              </w:rPr>
            </w:pPr>
          </w:p>
        </w:tc>
        <w:tc>
          <w:tcPr>
            <w:tcW w:w="4840" w:type="dxa"/>
            <w:vAlign w:val="bottom"/>
            <w:vMerge w:val="continue"/>
          </w:tcPr>
          <w:p>
            <w:pPr>
              <w:spacing w:after="0"/>
              <w:rPr>
                <w:sz w:val="14"/>
                <w:szCs w:val="14"/>
                <w:color w:val="auto"/>
              </w:rPr>
            </w:pPr>
          </w:p>
        </w:tc>
        <w:tc>
          <w:tcPr>
            <w:tcW w:w="720" w:type="dxa"/>
            <w:vAlign w:val="bottom"/>
            <w:tcBorders>
              <w:bottom w:val="single" w:sz="8" w:color="auto"/>
            </w:tcBorders>
            <w:vMerge w:val="continue"/>
          </w:tcPr>
          <w:p>
            <w:pPr>
              <w:spacing w:after="0"/>
              <w:rPr>
                <w:sz w:val="14"/>
                <w:szCs w:val="14"/>
                <w:color w:val="auto"/>
              </w:rPr>
            </w:pPr>
          </w:p>
        </w:tc>
        <w:tc>
          <w:tcPr>
            <w:tcW w:w="40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64"/>
        </w:trPr>
        <w:tc>
          <w:tcPr>
            <w:tcW w:w="460" w:type="dxa"/>
            <w:vAlign w:val="bottom"/>
          </w:tcPr>
          <w:p>
            <w:pPr>
              <w:spacing w:after="0"/>
              <w:rPr>
                <w:sz w:val="20"/>
                <w:szCs w:val="20"/>
                <w:color w:val="auto"/>
              </w:rPr>
            </w:pPr>
            <w:r>
              <w:rPr>
                <w:rFonts w:ascii="Arial" w:cs="Arial" w:eastAsia="Arial" w:hAnsi="Arial"/>
                <w:sz w:val="18"/>
                <w:szCs w:val="18"/>
                <w:color w:val="auto"/>
              </w:rPr>
              <w:t>99.1</w:t>
            </w:r>
          </w:p>
        </w:tc>
        <w:tc>
          <w:tcPr>
            <w:tcW w:w="560" w:type="dxa"/>
            <w:vAlign w:val="bottom"/>
          </w:tcPr>
          <w:p>
            <w:pPr>
              <w:spacing w:after="0"/>
              <w:rPr>
                <w:sz w:val="22"/>
                <w:szCs w:val="22"/>
                <w:color w:val="auto"/>
              </w:rPr>
            </w:pPr>
          </w:p>
        </w:tc>
        <w:tc>
          <w:tcPr>
            <w:tcW w:w="9620" w:type="dxa"/>
            <w:vAlign w:val="bottom"/>
            <w:tcBorders>
              <w:bottom w:val="single" w:sz="8" w:color="0000EE"/>
            </w:tcBorders>
            <w:gridSpan w:val="3"/>
          </w:tcPr>
          <w:p>
            <w:pPr>
              <w:spacing w:after="0"/>
              <w:rPr>
                <w:rFonts w:ascii="Arial" w:cs="Arial" w:eastAsia="Arial" w:hAnsi="Arial"/>
                <w:sz w:val="18"/>
                <w:szCs w:val="18"/>
                <w:color w:val="0000EE"/>
                <w:w w:val="90"/>
              </w:rPr>
            </w:pPr>
            <w:hyperlink w:anchor="page4">
              <w:r>
                <w:rPr>
                  <w:rFonts w:ascii="Arial" w:cs="Arial" w:eastAsia="Arial" w:hAnsi="Arial"/>
                  <w:sz w:val="18"/>
                  <w:szCs w:val="18"/>
                  <w:color w:val="0000EE"/>
                  <w:w w:val="90"/>
                </w:rPr>
                <w:t>Press release, dated March 12, 2018, titled “Eiger BioPharmaceuticals Reports Fourth Quarter and Full Year 2017 Financial Results.”</w:t>
              </w:r>
            </w:hyperlink>
          </w:p>
        </w:tc>
        <w:tc>
          <w:tcPr>
            <w:tcW w:w="0" w:type="dxa"/>
            <w:vAlign w:val="bottom"/>
          </w:tcPr>
          <w:p>
            <w:pPr>
              <w:spacing w:after="0"/>
              <w:rPr>
                <w:sz w:val="1"/>
                <w:szCs w:val="1"/>
                <w:color w:val="auto"/>
              </w:rPr>
            </w:pPr>
          </w:p>
        </w:tc>
      </w:tr>
    </w:tbl>
    <w:p>
      <w:pPr>
        <w:sectPr>
          <w:pgSz w:w="11900" w:h="16838" w:orient="portrait"/>
          <w:cols w:equalWidth="0" w:num="1">
            <w:col w:w="11400"/>
          </w:cols>
          <w:pgMar w:left="240" w:top="270" w:right="259" w:bottom="1440" w:gutter="0" w:footer="0" w:header="0"/>
        </w:sectPr>
      </w:pPr>
    </w:p>
    <w:bookmarkStart w:id="2" w:name="page3"/>
    <w:bookmarkEnd w:id="2"/>
    <w:p>
      <w:pPr>
        <w:jc w:val="center"/>
        <w:ind w:right="-6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900"/>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Dated: March 16, 2018</w:t>
      </w:r>
    </w:p>
    <w:p>
      <w:pPr>
        <w:spacing w:after="0" w:line="9"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By:  /s/ James Welch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5715</wp:posOffset>
            </wp:positionV>
            <wp:extent cx="32588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James Welch</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0800"/>
          </w:cols>
          <w:pgMar w:left="240" w:top="270" w:right="85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Eiger BioPharmaceuticals Reports Fourth Quarter and Full Year 2017 Financial Results</w:t>
      </w:r>
    </w:p>
    <w:p>
      <w:pPr>
        <w:spacing w:after="0" w:line="135" w:lineRule="exact"/>
        <w:rPr>
          <w:sz w:val="20"/>
          <w:szCs w:val="20"/>
          <w:color w:val="auto"/>
        </w:rPr>
      </w:pPr>
    </w:p>
    <w:p>
      <w:pPr>
        <w:ind w:left="440" w:hanging="324"/>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Hepatitis Delta Virus Program Moving into Phase 3 in 2018</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Phase 2 Clinical Results Planned from Three Pipeline Programs in 2018</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Cash Runway Extends Through Mid-2019</w:t>
      </w:r>
    </w:p>
    <w:p>
      <w:pPr>
        <w:spacing w:after="0" w:line="221" w:lineRule="exact"/>
        <w:rPr>
          <w:sz w:val="20"/>
          <w:szCs w:val="20"/>
          <w:color w:val="auto"/>
        </w:rPr>
      </w:pPr>
    </w:p>
    <w:p>
      <w:pPr>
        <w:ind w:right="280"/>
        <w:spacing w:after="0" w:line="347" w:lineRule="auto"/>
        <w:rPr>
          <w:sz w:val="20"/>
          <w:szCs w:val="20"/>
          <w:color w:val="auto"/>
        </w:rPr>
      </w:pPr>
      <w:r>
        <w:rPr>
          <w:rFonts w:ascii="Arial" w:cs="Arial" w:eastAsia="Arial" w:hAnsi="Arial"/>
          <w:sz w:val="16"/>
          <w:szCs w:val="16"/>
          <w:b w:val="1"/>
          <w:bCs w:val="1"/>
          <w:color w:val="auto"/>
        </w:rPr>
        <w:t xml:space="preserve">PALO ALTO, Calif., March 12, 2018 </w:t>
      </w:r>
      <w:r>
        <w:rPr>
          <w:rFonts w:ascii="Arial" w:cs="Arial" w:eastAsia="Arial" w:hAnsi="Arial"/>
          <w:sz w:val="16"/>
          <w:szCs w:val="16"/>
          <w:color w:val="auto"/>
        </w:rPr>
        <w:t>— Eiger BioPharmaceuticals, Inc. (Nasdaq:EIGR), focused on the development and commercialization of targeted</w:t>
      </w:r>
      <w:r>
        <w:rPr>
          <w:rFonts w:ascii="Arial" w:cs="Arial" w:eastAsia="Arial" w:hAnsi="Arial"/>
          <w:sz w:val="16"/>
          <w:szCs w:val="16"/>
          <w:b w:val="1"/>
          <w:bCs w:val="1"/>
          <w:color w:val="auto"/>
        </w:rPr>
        <w:t xml:space="preserve"> </w:t>
      </w:r>
      <w:r>
        <w:rPr>
          <w:rFonts w:ascii="Arial" w:cs="Arial" w:eastAsia="Arial" w:hAnsi="Arial"/>
          <w:sz w:val="16"/>
          <w:szCs w:val="16"/>
          <w:color w:val="auto"/>
        </w:rPr>
        <w:t>therapies for rare diseases, announced today financial results for the three months and year ended December 31, 2017 and provided a business update.</w:t>
      </w:r>
    </w:p>
    <w:p>
      <w:pPr>
        <w:spacing w:after="0" w:line="120" w:lineRule="exact"/>
        <w:rPr>
          <w:sz w:val="20"/>
          <w:szCs w:val="20"/>
          <w:color w:val="auto"/>
        </w:rPr>
      </w:pPr>
    </w:p>
    <w:p>
      <w:pPr>
        <w:ind w:right="260"/>
        <w:spacing w:after="0" w:line="279" w:lineRule="auto"/>
        <w:rPr>
          <w:sz w:val="20"/>
          <w:szCs w:val="20"/>
          <w:color w:val="auto"/>
        </w:rPr>
      </w:pPr>
      <w:r>
        <w:rPr>
          <w:rFonts w:ascii="Arial" w:cs="Arial" w:eastAsia="Arial" w:hAnsi="Arial"/>
          <w:sz w:val="17"/>
          <w:szCs w:val="17"/>
          <w:color w:val="auto"/>
        </w:rPr>
        <w:t>“We met with the FDA in February to discuss development plans for our lead program in HDV. The meeting was very positive and the Agency agreed that our HDV program can advance forward into Phase 3 development with a single, registration trial. We expect to receive written minutes from the Agency shortly and plan to communicate further details on our development plans during the second quarter of 2018,” said David Cory, President and CEO. “In addition, we expect to report Phase 2 results from all three pipeline programs in the second half of 2018.”</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Achievements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Hepatitis D Virus (HDV) Program</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Lonafarnib in HDV</w:t>
      </w:r>
    </w:p>
    <w:p>
      <w:pPr>
        <w:spacing w:after="0" w:line="131" w:lineRule="exact"/>
        <w:rPr>
          <w:sz w:val="20"/>
          <w:szCs w:val="20"/>
          <w:color w:val="auto"/>
        </w:rPr>
      </w:pPr>
    </w:p>
    <w:p>
      <w:pPr>
        <w:ind w:left="900" w:right="100" w:hanging="325"/>
        <w:spacing w:after="0" w:line="418" w:lineRule="auto"/>
        <w:tabs>
          <w:tab w:leader="none" w:pos="900" w:val="left"/>
        </w:tabs>
        <w:numPr>
          <w:ilvl w:val="1"/>
          <w:numId w:val="3"/>
        </w:numPr>
        <w:rPr>
          <w:rFonts w:ascii="Arial" w:cs="Arial" w:eastAsia="Arial" w:hAnsi="Arial"/>
          <w:sz w:val="18"/>
          <w:szCs w:val="18"/>
          <w:color w:val="auto"/>
        </w:rPr>
      </w:pPr>
      <w:r>
        <w:rPr>
          <w:rFonts w:ascii="Arial" w:cs="Arial" w:eastAsia="Arial" w:hAnsi="Arial"/>
          <w:sz w:val="18"/>
          <w:szCs w:val="18"/>
          <w:i w:val="1"/>
          <w:iCs w:val="1"/>
          <w:color w:val="auto"/>
        </w:rPr>
        <w:t>Positive Phase 2 LOWR HDV (</w:t>
      </w:r>
      <w:r>
        <w:rPr>
          <w:rFonts w:ascii="Arial" w:cs="Arial" w:eastAsia="Arial" w:hAnsi="Arial"/>
          <w:sz w:val="18"/>
          <w:szCs w:val="18"/>
          <w:b w:val="1"/>
          <w:bCs w:val="1"/>
          <w:i w:val="1"/>
          <w:iCs w:val="1"/>
          <w:color w:val="auto"/>
        </w:rPr>
        <w:t>LO</w:t>
      </w:r>
      <w:r>
        <w:rPr>
          <w:rFonts w:ascii="Arial" w:cs="Arial" w:eastAsia="Arial" w:hAnsi="Arial"/>
          <w:sz w:val="18"/>
          <w:szCs w:val="18"/>
          <w:i w:val="1"/>
          <w:iCs w:val="1"/>
          <w:color w:val="auto"/>
        </w:rPr>
        <w:t xml:space="preserve">nafarnib </w:t>
      </w:r>
      <w:r>
        <w:rPr>
          <w:rFonts w:ascii="Arial" w:cs="Arial" w:eastAsia="Arial" w:hAnsi="Arial"/>
          <w:sz w:val="18"/>
          <w:szCs w:val="18"/>
          <w:b w:val="1"/>
          <w:bCs w:val="1"/>
          <w:i w:val="1"/>
          <w:iCs w:val="1"/>
          <w:color w:val="auto"/>
        </w:rPr>
        <w:t>W</w:t>
      </w:r>
      <w:r>
        <w:rPr>
          <w:rFonts w:ascii="Arial" w:cs="Arial" w:eastAsia="Arial" w:hAnsi="Arial"/>
          <w:sz w:val="18"/>
          <w:szCs w:val="18"/>
          <w:i w:val="1"/>
          <w:iCs w:val="1"/>
          <w:color w:val="auto"/>
        </w:rPr>
        <w:t xml:space="preserve">ith </w:t>
      </w:r>
      <w:r>
        <w:rPr>
          <w:rFonts w:ascii="Arial" w:cs="Arial" w:eastAsia="Arial" w:hAnsi="Arial"/>
          <w:sz w:val="18"/>
          <w:szCs w:val="18"/>
          <w:b w:val="1"/>
          <w:bCs w:val="1"/>
          <w:i w:val="1"/>
          <w:iCs w:val="1"/>
          <w:color w:val="auto"/>
        </w:rPr>
        <w:t>R</w:t>
      </w:r>
      <w:r>
        <w:rPr>
          <w:rFonts w:ascii="Arial" w:cs="Arial" w:eastAsia="Arial" w:hAnsi="Arial"/>
          <w:sz w:val="18"/>
          <w:szCs w:val="18"/>
          <w:i w:val="1"/>
          <w:iCs w:val="1"/>
          <w:color w:val="auto"/>
        </w:rPr>
        <w:t xml:space="preserve">itonavir in </w:t>
      </w:r>
      <w:r>
        <w:rPr>
          <w:rFonts w:ascii="Arial" w:cs="Arial" w:eastAsia="Arial" w:hAnsi="Arial"/>
          <w:sz w:val="18"/>
          <w:szCs w:val="18"/>
          <w:b w:val="1"/>
          <w:bCs w:val="1"/>
          <w:i w:val="1"/>
          <w:iCs w:val="1"/>
          <w:color w:val="auto"/>
        </w:rPr>
        <w:t>HDV</w:t>
      </w:r>
      <w:r>
        <w:rPr>
          <w:rFonts w:ascii="Arial" w:cs="Arial" w:eastAsia="Arial" w:hAnsi="Arial"/>
          <w:sz w:val="18"/>
          <w:szCs w:val="18"/>
          <w:i w:val="1"/>
          <w:iCs w:val="1"/>
          <w:color w:val="auto"/>
        </w:rPr>
        <w:t>) Program presentations at The International Liver Congress™ (EASL 2017) Positive face to face FDA meeting held on February 14, 2018</w:t>
      </w:r>
    </w:p>
    <w:p>
      <w:pPr>
        <w:spacing w:after="0" w:line="157"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Lambda in HDV</w:t>
      </w:r>
    </w:p>
    <w:p>
      <w:pPr>
        <w:spacing w:after="0" w:line="131" w:lineRule="exact"/>
        <w:rPr>
          <w:sz w:val="20"/>
          <w:szCs w:val="20"/>
          <w:color w:val="auto"/>
        </w:rPr>
      </w:pPr>
    </w:p>
    <w:p>
      <w:pPr>
        <w:ind w:left="900" w:right="100" w:hanging="325"/>
        <w:spacing w:after="0" w:line="277" w:lineRule="auto"/>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Positive Phase 2 interim data from LIMT HDV (</w:t>
      </w:r>
      <w:r>
        <w:rPr>
          <w:rFonts w:ascii="Arial" w:cs="Arial" w:eastAsia="Arial" w:hAnsi="Arial"/>
          <w:sz w:val="18"/>
          <w:szCs w:val="18"/>
          <w:b w:val="1"/>
          <w:bCs w:val="1"/>
          <w:i w:val="1"/>
          <w:iCs w:val="1"/>
          <w:color w:val="auto"/>
        </w:rPr>
        <w:t>L</w:t>
      </w:r>
      <w:r>
        <w:rPr>
          <w:rFonts w:ascii="Arial" w:cs="Arial" w:eastAsia="Arial" w:hAnsi="Arial"/>
          <w:sz w:val="18"/>
          <w:szCs w:val="18"/>
          <w:i w:val="1"/>
          <w:iCs w:val="1"/>
          <w:color w:val="auto"/>
        </w:rPr>
        <w:t xml:space="preserve">ambda </w:t>
      </w:r>
      <w:r>
        <w:rPr>
          <w:rFonts w:ascii="Arial" w:cs="Arial" w:eastAsia="Arial" w:hAnsi="Arial"/>
          <w:sz w:val="18"/>
          <w:szCs w:val="18"/>
          <w:b w:val="1"/>
          <w:bCs w:val="1"/>
          <w:i w:val="1"/>
          <w:iCs w:val="1"/>
          <w:color w:val="auto"/>
        </w:rPr>
        <w:t>I</w:t>
      </w:r>
      <w:r>
        <w:rPr>
          <w:rFonts w:ascii="Arial" w:cs="Arial" w:eastAsia="Arial" w:hAnsi="Arial"/>
          <w:sz w:val="18"/>
          <w:szCs w:val="18"/>
          <w:i w:val="1"/>
          <w:iCs w:val="1"/>
          <w:color w:val="auto"/>
        </w:rPr>
        <w:t xml:space="preserve">nterferon </w:t>
      </w:r>
      <w:r>
        <w:rPr>
          <w:rFonts w:ascii="Arial" w:cs="Arial" w:eastAsia="Arial" w:hAnsi="Arial"/>
          <w:sz w:val="18"/>
          <w:szCs w:val="18"/>
          <w:b w:val="1"/>
          <w:bCs w:val="1"/>
          <w:i w:val="1"/>
          <w:iCs w:val="1"/>
          <w:color w:val="auto"/>
        </w:rPr>
        <w:t>M</w:t>
      </w:r>
      <w:r>
        <w:rPr>
          <w:rFonts w:ascii="Arial" w:cs="Arial" w:eastAsia="Arial" w:hAnsi="Arial"/>
          <w:sz w:val="18"/>
          <w:szCs w:val="18"/>
          <w:i w:val="1"/>
          <w:iCs w:val="1"/>
          <w:color w:val="auto"/>
        </w:rPr>
        <w:t xml:space="preserve">onotherapy </w:t>
      </w:r>
      <w:r>
        <w:rPr>
          <w:rFonts w:ascii="Arial" w:cs="Arial" w:eastAsia="Arial" w:hAnsi="Arial"/>
          <w:sz w:val="18"/>
          <w:szCs w:val="18"/>
          <w:b w:val="1"/>
          <w:bCs w:val="1"/>
          <w:i w:val="1"/>
          <w:iCs w:val="1"/>
          <w:color w:val="auto"/>
        </w:rPr>
        <w:t>T</w:t>
      </w:r>
      <w:r>
        <w:rPr>
          <w:rFonts w:ascii="Arial" w:cs="Arial" w:eastAsia="Arial" w:hAnsi="Arial"/>
          <w:sz w:val="18"/>
          <w:szCs w:val="18"/>
          <w:i w:val="1"/>
          <w:iCs w:val="1"/>
          <w:color w:val="auto"/>
        </w:rPr>
        <w:t xml:space="preserve">rial in </w:t>
      </w:r>
      <w:r>
        <w:rPr>
          <w:rFonts w:ascii="Arial" w:cs="Arial" w:eastAsia="Arial" w:hAnsi="Arial"/>
          <w:sz w:val="18"/>
          <w:szCs w:val="18"/>
          <w:b w:val="1"/>
          <w:bCs w:val="1"/>
          <w:i w:val="1"/>
          <w:iCs w:val="1"/>
          <w:color w:val="auto"/>
        </w:rPr>
        <w:t>HDV</w:t>
      </w:r>
      <w:r>
        <w:rPr>
          <w:rFonts w:ascii="Arial" w:cs="Arial" w:eastAsia="Arial" w:hAnsi="Arial"/>
          <w:sz w:val="18"/>
          <w:szCs w:val="18"/>
          <w:i w:val="1"/>
          <w:iCs w:val="1"/>
          <w:color w:val="auto"/>
        </w:rPr>
        <w:t>) reported at American Association for the Study of Liver Diseases (AASLD 2017) meeting</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Orphan Drug Designation granted by FDA</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Fast Track Designation granted by FDA</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Exendin 9-39 in PBH</w:t>
      </w:r>
    </w:p>
    <w:p>
      <w:pPr>
        <w:spacing w:after="0" w:line="131" w:lineRule="exact"/>
        <w:rPr>
          <w:sz w:val="20"/>
          <w:szCs w:val="20"/>
          <w:color w:val="auto"/>
        </w:rPr>
      </w:pPr>
    </w:p>
    <w:p>
      <w:pPr>
        <w:ind w:left="440" w:hanging="324"/>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Positive Phase 2 MAD data at American Diabetes Association (ADA 2017) meeting</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Phase 1 PK study successfully completed with novel liquid formulation</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Phase 2 PREVENT (28-day) study initiation</w:t>
      </w:r>
    </w:p>
    <w:p>
      <w:pPr>
        <w:sectPr>
          <w:pgSz w:w="11900" w:h="16838" w:orient="portrait"/>
          <w:cols w:equalWidth="0" w:num="1">
            <w:col w:w="11420"/>
          </w:cols>
          <w:pgMar w:left="240" w:top="121" w:right="2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Ubenimex in Lymphedema</w:t>
      </w:r>
    </w:p>
    <w:p>
      <w:pPr>
        <w:spacing w:after="0" w:line="131" w:lineRule="exact"/>
        <w:rPr>
          <w:sz w:val="20"/>
          <w:szCs w:val="20"/>
          <w:color w:val="auto"/>
        </w:rPr>
      </w:pPr>
    </w:p>
    <w:p>
      <w:pPr>
        <w:ind w:left="440" w:hanging="324"/>
        <w:spacing w:after="0"/>
        <w:tabs>
          <w:tab w:leader="none" w:pos="44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Phase 2 ULTRA study enrollment completed; N=54</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Activity</w:t>
      </w:r>
    </w:p>
    <w:p>
      <w:pPr>
        <w:spacing w:after="0" w:line="131" w:lineRule="exact"/>
        <w:rPr>
          <w:sz w:val="20"/>
          <w:szCs w:val="20"/>
          <w:color w:val="auto"/>
        </w:rPr>
      </w:pPr>
    </w:p>
    <w:p>
      <w:pPr>
        <w:ind w:left="440" w:hanging="324"/>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David Apelian, MD, PhD, MBA, pharma industry veteran, appointed to Board</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Evan Loh, MD, pharma industry veteran, appointed to Board</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Financing completed in October 2017 raising $19.8 million in net proceeds</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Eldon Mayer III, pharma industry veteran, appointed to Board</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David Apelian joined Eiger as COO and Executive Medical Officer</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Anticipated 2018 Milestones</w:t>
      </w:r>
    </w:p>
    <w:p>
      <w:pPr>
        <w:spacing w:after="0" w:line="135" w:lineRule="exact"/>
        <w:rPr>
          <w:sz w:val="20"/>
          <w:szCs w:val="20"/>
          <w:color w:val="auto"/>
        </w:rPr>
      </w:pPr>
    </w:p>
    <w:p>
      <w:pPr>
        <w:ind w:left="440" w:hanging="324"/>
        <w:spacing w:after="0"/>
        <w:tabs>
          <w:tab w:leader="none" w:pos="440" w:val="left"/>
        </w:tabs>
        <w:numPr>
          <w:ilvl w:val="0"/>
          <w:numId w:val="8"/>
        </w:numPr>
        <w:rPr>
          <w:rFonts w:ascii="Arial" w:cs="Arial" w:eastAsia="Arial" w:hAnsi="Arial"/>
          <w:sz w:val="18"/>
          <w:szCs w:val="18"/>
          <w:color w:val="auto"/>
        </w:rPr>
      </w:pPr>
      <w:r>
        <w:rPr>
          <w:rFonts w:ascii="Arial" w:cs="Arial" w:eastAsia="Arial" w:hAnsi="Arial"/>
          <w:sz w:val="18"/>
          <w:szCs w:val="18"/>
          <w:i w:val="1"/>
          <w:iCs w:val="1"/>
          <w:color w:val="auto"/>
        </w:rPr>
        <w:t>Lonafarnib in HDV: Initiation of Phase 3 Program</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8"/>
        </w:numPr>
        <w:rPr>
          <w:rFonts w:ascii="Arial" w:cs="Arial" w:eastAsia="Arial" w:hAnsi="Arial"/>
          <w:sz w:val="18"/>
          <w:szCs w:val="18"/>
          <w:color w:val="auto"/>
        </w:rPr>
      </w:pPr>
      <w:r>
        <w:rPr>
          <w:rFonts w:ascii="Arial" w:cs="Arial" w:eastAsia="Arial" w:hAnsi="Arial"/>
          <w:sz w:val="18"/>
          <w:szCs w:val="18"/>
          <w:i w:val="1"/>
          <w:iCs w:val="1"/>
          <w:color w:val="auto"/>
        </w:rPr>
        <w:t>Lambda in HDV: Dosing completion in LIMT study</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8"/>
        </w:numPr>
        <w:rPr>
          <w:rFonts w:ascii="Arial" w:cs="Arial" w:eastAsia="Arial" w:hAnsi="Arial"/>
          <w:sz w:val="18"/>
          <w:szCs w:val="18"/>
          <w:color w:val="auto"/>
        </w:rPr>
      </w:pPr>
      <w:r>
        <w:rPr>
          <w:rFonts w:ascii="Arial" w:cs="Arial" w:eastAsia="Arial" w:hAnsi="Arial"/>
          <w:sz w:val="18"/>
          <w:szCs w:val="18"/>
          <w:i w:val="1"/>
          <w:iCs w:val="1"/>
          <w:color w:val="auto"/>
        </w:rPr>
        <w:t>Exendin 9-39 in PBH: Phase 2 PREVENT study completion</w:t>
      </w:r>
    </w:p>
    <w:p>
      <w:pPr>
        <w:spacing w:after="0" w:line="130" w:lineRule="exact"/>
        <w:rPr>
          <w:rFonts w:ascii="Arial" w:cs="Arial" w:eastAsia="Arial" w:hAnsi="Arial"/>
          <w:sz w:val="18"/>
          <w:szCs w:val="18"/>
          <w:color w:val="auto"/>
        </w:rPr>
      </w:pPr>
    </w:p>
    <w:p>
      <w:pPr>
        <w:ind w:left="440" w:hanging="324"/>
        <w:spacing w:after="0"/>
        <w:tabs>
          <w:tab w:leader="none" w:pos="440" w:val="left"/>
        </w:tabs>
        <w:numPr>
          <w:ilvl w:val="0"/>
          <w:numId w:val="8"/>
        </w:numPr>
        <w:rPr>
          <w:rFonts w:ascii="Arial" w:cs="Arial" w:eastAsia="Arial" w:hAnsi="Arial"/>
          <w:sz w:val="18"/>
          <w:szCs w:val="18"/>
          <w:color w:val="auto"/>
        </w:rPr>
      </w:pPr>
      <w:r>
        <w:rPr>
          <w:rFonts w:ascii="Arial" w:cs="Arial" w:eastAsia="Arial" w:hAnsi="Arial"/>
          <w:sz w:val="18"/>
          <w:szCs w:val="18"/>
          <w:i w:val="1"/>
          <w:iCs w:val="1"/>
          <w:color w:val="auto"/>
        </w:rPr>
        <w:t>Ubenimex in Lymphedema: Phase 2 ULTRA study completion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Fourth Quarter and Full Year 2017 Financial Results</w:t>
      </w:r>
    </w:p>
    <w:p>
      <w:pPr>
        <w:spacing w:after="0" w:line="121" w:lineRule="exact"/>
        <w:rPr>
          <w:sz w:val="20"/>
          <w:szCs w:val="20"/>
          <w:color w:val="auto"/>
        </w:rPr>
      </w:pPr>
    </w:p>
    <w:p>
      <w:pPr>
        <w:ind w:right="360"/>
        <w:spacing w:after="0" w:line="264" w:lineRule="auto"/>
        <w:rPr>
          <w:sz w:val="20"/>
          <w:szCs w:val="20"/>
          <w:color w:val="auto"/>
        </w:rPr>
      </w:pPr>
      <w:r>
        <w:rPr>
          <w:rFonts w:ascii="Arial" w:cs="Arial" w:eastAsia="Arial" w:hAnsi="Arial"/>
          <w:sz w:val="18"/>
          <w:szCs w:val="18"/>
          <w:color w:val="auto"/>
        </w:rPr>
        <w:t>Net loss for the fourth quarter of 2017 was $10.9 million, or $1.11 per share basic and diluted, compared to a net loss of $12.8 million, or $1.53 per share basic and diluted for the fourth quarter of 2016. Net losses were $42.4 million and $47.1 million for the years ended December 31, 2017 and 2016, respectively, or $4.86 and $7.84 per share basic and diluted, respectively.</w:t>
      </w:r>
    </w:p>
    <w:p>
      <w:pPr>
        <w:spacing w:after="0" w:line="181" w:lineRule="exact"/>
        <w:rPr>
          <w:sz w:val="20"/>
          <w:szCs w:val="20"/>
          <w:color w:val="auto"/>
        </w:rPr>
      </w:pPr>
    </w:p>
    <w:p>
      <w:pPr>
        <w:ind w:right="220"/>
        <w:spacing w:after="0" w:line="312" w:lineRule="auto"/>
        <w:rPr>
          <w:sz w:val="20"/>
          <w:szCs w:val="20"/>
          <w:color w:val="auto"/>
        </w:rPr>
      </w:pPr>
      <w:r>
        <w:rPr>
          <w:rFonts w:ascii="Arial" w:cs="Arial" w:eastAsia="Arial" w:hAnsi="Arial"/>
          <w:sz w:val="16"/>
          <w:szCs w:val="16"/>
          <w:color w:val="auto"/>
        </w:rPr>
        <w:t>Research and development expenses for the fourth quarter of 2017 were $7.8 million compared to $9.4 million for the fourth quarter of 2016, a decrease of $1.6 million. The decrease was primarily due to a $0.9 million reduction in clinical and drug supply expenditures and a $0.8 million reduction headcount related costs. R&amp;D expenses were $29.5 million and $33.0 million for the years ended December 31, 2017 and December 31, 2016, respectively.</w:t>
      </w:r>
    </w:p>
    <w:p>
      <w:pPr>
        <w:spacing w:after="0" w:line="147" w:lineRule="exact"/>
        <w:rPr>
          <w:sz w:val="20"/>
          <w:szCs w:val="20"/>
          <w:color w:val="auto"/>
        </w:rPr>
      </w:pPr>
    </w:p>
    <w:p>
      <w:pPr>
        <w:spacing w:after="0"/>
        <w:rPr>
          <w:sz w:val="20"/>
          <w:szCs w:val="20"/>
          <w:color w:val="auto"/>
        </w:rPr>
      </w:pPr>
      <w:r>
        <w:rPr>
          <w:rFonts w:ascii="Arial" w:cs="Arial" w:eastAsia="Arial" w:hAnsi="Arial"/>
          <w:sz w:val="16"/>
          <w:szCs w:val="16"/>
          <w:color w:val="auto"/>
        </w:rPr>
        <w:t>General and administrative expenses for the fourth quarter of 2017 were $2.8 million compared to $3.5 million for the fourth quarter of 2016, a decrease of</w:t>
      </w:r>
    </w:p>
    <w:p>
      <w:pPr>
        <w:spacing w:after="0" w:line="46"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color w:val="auto"/>
        </w:rPr>
        <w:t>$0.7 million. The decrease was primarily due a $0.4 million decrease in stock-based compensation expense. G&amp;A expenses for the years ended December 31, 2017 and December 31, 2016 were $12.0 million and $13.1 million, respectively.</w:t>
      </w:r>
    </w:p>
    <w:p>
      <w:pPr>
        <w:spacing w:after="0" w:line="184"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As of December 31, 2017, Eiger had cash, cash equivalents and short-term marketable securities of $41.8 million, compared to $59.9 million at December 31, 2016.</w:t>
      </w:r>
    </w:p>
    <w:p>
      <w:pPr>
        <w:spacing w:after="0" w:line="170"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On October 31, 2017, Eiger announced the closing of its underwritten public offering of 2,132,961 shares of its common stock that included the exercise in full of the underwriter’s option to purchase up to 278,212 shares, at a price of $10.00 per share. The offering was made under Eiger’s effective shelf registration statement and resulted in net proceeds to the company of approximately $19.8 million, after deducting underwriting discounts and commissions and estimated offering expenses.</w:t>
      </w:r>
    </w:p>
    <w:p>
      <w:pPr>
        <w:sectPr>
          <w:pgSz w:w="11900" w:h="16838" w:orient="portrait"/>
          <w:cols w:equalWidth="0" w:num="1">
            <w:col w:w="11400"/>
          </w:cols>
          <w:pgMar w:left="240" w:top="274" w:right="25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About Eiger</w:t>
      </w:r>
    </w:p>
    <w:p>
      <w:pPr>
        <w:spacing w:after="0" w:line="121" w:lineRule="exact"/>
        <w:rPr>
          <w:sz w:val="20"/>
          <w:szCs w:val="20"/>
          <w:color w:val="auto"/>
        </w:rPr>
      </w:pPr>
    </w:p>
    <w:p>
      <w:pPr>
        <w:ind w:right="100"/>
        <w:spacing w:after="0" w:line="276" w:lineRule="auto"/>
        <w:rPr>
          <w:sz w:val="20"/>
          <w:szCs w:val="20"/>
          <w:color w:val="auto"/>
        </w:rPr>
      </w:pPr>
      <w:r>
        <w:rPr>
          <w:rFonts w:ascii="Arial" w:cs="Arial" w:eastAsia="Arial" w:hAnsi="Arial"/>
          <w:sz w:val="17"/>
          <w:szCs w:val="17"/>
          <w:color w:val="auto"/>
        </w:rPr>
        <w:t xml:space="preserve">Eiger is a clinical-stage biopharmaceutical company focused on the development and commercialization of targeted therapies for rare diseases. We are committed to translational innovation and the development of well-characterized drugs acting on newly identified or novel targets. Our mission is to systematically reduce the time and cost of the drug development process to more rapidly deliver important medicines to patients with rare diseases. Our lead program in Hepatitis Delta Virus (HDV) infection, is moving into Phase 3 with a single, pivotal trial planned to initiate by the end of the year. For additional information about Eiger and its clinical programs, please visit </w:t>
      </w:r>
      <w:r>
        <w:rPr>
          <w:rFonts w:ascii="Arial" w:cs="Arial" w:eastAsia="Arial" w:hAnsi="Arial"/>
          <w:sz w:val="17"/>
          <w:szCs w:val="17"/>
          <w:u w:val="single" w:color="auto"/>
          <w:color w:val="auto"/>
        </w:rPr>
        <w:t>www.eigerbio.com</w:t>
      </w:r>
      <w:r>
        <w:rPr>
          <w:rFonts w:ascii="Arial" w:cs="Arial" w:eastAsia="Arial" w:hAnsi="Arial"/>
          <w:sz w:val="17"/>
          <w:szCs w:val="17"/>
          <w:color w:val="auto"/>
        </w:rPr>
        <w:t>.</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Regarding Forward-Looking Statements</w:t>
      </w:r>
    </w:p>
    <w:p>
      <w:pPr>
        <w:spacing w:after="0" w:line="121" w:lineRule="exact"/>
        <w:rPr>
          <w:sz w:val="20"/>
          <w:szCs w:val="20"/>
          <w:color w:val="auto"/>
        </w:rPr>
      </w:pPr>
    </w:p>
    <w:p>
      <w:pPr>
        <w:ind w:right="40"/>
        <w:spacing w:after="0" w:line="269" w:lineRule="auto"/>
        <w:rPr>
          <w:sz w:val="20"/>
          <w:szCs w:val="20"/>
          <w:color w:val="auto"/>
        </w:rPr>
      </w:pPr>
      <w:r>
        <w:rPr>
          <w:rFonts w:ascii="Arial" w:cs="Arial" w:eastAsia="Arial" w:hAnsi="Arial"/>
          <w:sz w:val="17"/>
          <w:szCs w:val="17"/>
          <w:color w:val="auto"/>
        </w:rPr>
        <w:t>This press release contains “forward-looking” statements that involve substantial risks and uncertainties. All statements other than statements of historical facts, including statements regarding our future financial condition, timing for and outcomes of clinical results, business strategy and plans and objectives for future operations, are forward looking statements. These forward-looking statements include terminology such as “believe,” “will,” “may,” “estimate,” “continue,” “anticipate,” “contemplate,” “intend,” “target,” “project,” “should,” “plan,” “expect,” “predict,” “could,” “potentially” or the negative of these terms. Forward looking statements are our current statements regarding our intentions, beliefs, projections, outlook, analyses or current expectations concerning, among other things, our ongoing and planned clinical development, the timing of and our ability to initiate or enroll clinical trials, and our ability to make regulatory filings and obtain and maintain regulatory approvals for lonafarnib, ubenimex, PEG IFN lambda, exendin 9-39 and our other product candidates, our intellectual property position, the potential safety, efficacy, reimbursement, convenience clinical and pharmaco-economic benefits of our product candidates, commercial opportunities, including potential market sizes and segments, our ability to commercialize, expectations regarding clinical trial data and FDA outcomes, including whether we will be able to reach agreement on a single pivotal study for lonafarnib and the nature and scope of any such study to support approval, our results of operations, cash needs, financial condition, liquidity, prospects, growth and strategies, the industry in which we operate and the trends that may affect the industry or us.</w:t>
      </w:r>
    </w:p>
    <w:p>
      <w:pPr>
        <w:spacing w:after="0" w:line="180"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Various important factors could cause actual results or events to differ materially from the forward-looking statements that Eiger makes, including the risks described in the “Risk Factors” sections in the Annual Report on Form 10-K for the year ended December 31, 2017 and Eiger’s periodic reports filed with the SEC. Eiger does not assume any obligation to update any forward-looking statements, except as required by law.</w:t>
      </w:r>
    </w:p>
    <w:p>
      <w:pPr>
        <w:sectPr>
          <w:pgSz w:w="11900" w:h="16838" w:orient="portrait"/>
          <w:cols w:equalWidth="0" w:num="1">
            <w:col w:w="11380"/>
          </w:cols>
          <w:pgMar w:left="240" w:top="270" w:right="279" w:bottom="1440" w:gutter="0" w:footer="0" w:header="0"/>
        </w:sectPr>
      </w:pPr>
    </w:p>
    <w:bookmarkStart w:id="6" w:name="page7"/>
    <w:bookmarkEnd w:id="6"/>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660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660400"/>
                    </a:xfrm>
                    <a:prstGeom prst="rect">
                      <a:avLst/>
                    </a:prstGeom>
                    <a:noFill/>
                  </pic:spPr>
                </pic:pic>
              </a:graphicData>
            </a:graphic>
          </wp:anchor>
        </w:drawing>
        <w:t>SOURCE: Eiger BioPharmaceuticals, Inc.</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Investors: Jim Welch</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Phone: 650-279-9845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Email: </w:t>
      </w:r>
      <w:r>
        <w:rPr>
          <w:rFonts w:ascii="Arial" w:cs="Arial" w:eastAsia="Arial" w:hAnsi="Arial"/>
          <w:sz w:val="18"/>
          <w:szCs w:val="18"/>
          <w:u w:val="single" w:color="auto"/>
          <w:color w:val="auto"/>
        </w:rPr>
        <w:t>jwelch@eigerbio.com</w:t>
      </w:r>
    </w:p>
    <w:p>
      <w:pPr>
        <w:sectPr>
          <w:pgSz w:w="11900" w:h="16838" w:orient="portrait"/>
          <w:cols w:equalWidth="0" w:num="1">
            <w:col w:w="10219"/>
          </w:cols>
          <w:pgMar w:left="240" w:top="1381" w:right="1440"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9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00" w:type="dxa"/>
            <w:vAlign w:val="bottom"/>
            <w:gridSpan w:val="5"/>
          </w:tcPr>
          <w:p>
            <w:pPr>
              <w:jc w:val="right"/>
              <w:ind w:right="600"/>
              <w:spacing w:after="0"/>
              <w:rPr>
                <w:sz w:val="20"/>
                <w:szCs w:val="20"/>
                <w:color w:val="auto"/>
              </w:rPr>
            </w:pPr>
            <w:r>
              <w:rPr>
                <w:rFonts w:ascii="Arial" w:cs="Arial" w:eastAsia="Arial" w:hAnsi="Arial"/>
                <w:sz w:val="14"/>
                <w:szCs w:val="14"/>
                <w:b w:val="1"/>
                <w:bCs w:val="1"/>
                <w:color w:val="auto"/>
              </w:rPr>
              <w:t>Three Months Ended</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gridSpan w:val="6"/>
          </w:tcPr>
          <w:p>
            <w:pPr>
              <w:jc w:val="center"/>
              <w:ind w:left="254"/>
              <w:spacing w:after="0"/>
              <w:rPr>
                <w:sz w:val="20"/>
                <w:szCs w:val="20"/>
                <w:color w:val="auto"/>
              </w:rPr>
            </w:pPr>
            <w:r>
              <w:rPr>
                <w:rFonts w:ascii="Arial" w:cs="Arial" w:eastAsia="Arial" w:hAnsi="Arial"/>
                <w:sz w:val="14"/>
                <w:szCs w:val="14"/>
                <w:b w:val="1"/>
                <w:bCs w:val="1"/>
                <w:color w:val="auto"/>
                <w:w w:val="93"/>
              </w:rPr>
              <w:t>Year Ended</w:t>
            </w: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9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100" w:type="dxa"/>
            <w:vAlign w:val="bottom"/>
            <w:gridSpan w:val="5"/>
          </w:tcPr>
          <w:p>
            <w:pPr>
              <w:jc w:val="right"/>
              <w:ind w:right="840"/>
              <w:spacing w:after="0"/>
              <w:rPr>
                <w:sz w:val="20"/>
                <w:szCs w:val="20"/>
                <w:color w:val="auto"/>
              </w:rPr>
            </w:pPr>
            <w:r>
              <w:rPr>
                <w:rFonts w:ascii="Arial" w:cs="Arial" w:eastAsia="Arial" w:hAnsi="Arial"/>
                <w:sz w:val="14"/>
                <w:szCs w:val="14"/>
                <w:b w:val="1"/>
                <w:bCs w:val="1"/>
                <w:color w:val="auto"/>
              </w:rPr>
              <w:t>December 31,</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80" w:type="dxa"/>
            <w:vAlign w:val="bottom"/>
            <w:gridSpan w:val="6"/>
          </w:tcPr>
          <w:p>
            <w:pPr>
              <w:jc w:val="center"/>
              <w:ind w:left="254"/>
              <w:spacing w:after="0"/>
              <w:rPr>
                <w:sz w:val="20"/>
                <w:szCs w:val="20"/>
                <w:color w:val="auto"/>
              </w:rPr>
            </w:pPr>
            <w:r>
              <w:rPr>
                <w:rFonts w:ascii="Arial" w:cs="Arial" w:eastAsia="Arial" w:hAnsi="Arial"/>
                <w:sz w:val="14"/>
                <w:szCs w:val="14"/>
                <w:b w:val="1"/>
                <w:bCs w:val="1"/>
                <w:color w:val="auto"/>
                <w:w w:val="92"/>
              </w:rPr>
              <w:t>December 31,</w:t>
            </w: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94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2017</w:t>
            </w:r>
          </w:p>
        </w:tc>
        <w:tc>
          <w:tcPr>
            <w:tcW w:w="22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172"/>
              <w:spacing w:after="0" w:line="142" w:lineRule="exact"/>
              <w:rPr>
                <w:sz w:val="20"/>
                <w:szCs w:val="20"/>
                <w:color w:val="auto"/>
              </w:rPr>
            </w:pPr>
            <w:r>
              <w:rPr>
                <w:rFonts w:ascii="Arial" w:cs="Arial" w:eastAsia="Arial" w:hAnsi="Arial"/>
                <w:sz w:val="14"/>
                <w:szCs w:val="14"/>
                <w:b w:val="1"/>
                <w:bCs w:val="1"/>
                <w:color w:val="auto"/>
              </w:rPr>
              <w:t>2016</w:t>
            </w:r>
          </w:p>
        </w:tc>
        <w:tc>
          <w:tcPr>
            <w:tcW w:w="340" w:type="dxa"/>
            <w:vAlign w:val="bottom"/>
            <w:tcBorders>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94"/>
              <w:spacing w:after="0" w:line="142" w:lineRule="exact"/>
              <w:rPr>
                <w:sz w:val="20"/>
                <w:szCs w:val="20"/>
                <w:color w:val="auto"/>
              </w:rPr>
            </w:pPr>
            <w:r>
              <w:rPr>
                <w:rFonts w:ascii="Arial" w:cs="Arial" w:eastAsia="Arial" w:hAnsi="Arial"/>
                <w:sz w:val="14"/>
                <w:szCs w:val="14"/>
                <w:b w:val="1"/>
                <w:bCs w:val="1"/>
                <w:color w:val="auto"/>
                <w:w w:val="96"/>
              </w:rPr>
              <w:t>2017</w:t>
            </w:r>
          </w:p>
        </w:tc>
        <w:tc>
          <w:tcPr>
            <w:tcW w:w="10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72"/>
              <w:spacing w:after="0" w:line="142" w:lineRule="exact"/>
              <w:rPr>
                <w:sz w:val="20"/>
                <w:szCs w:val="20"/>
                <w:color w:val="auto"/>
              </w:rPr>
            </w:pPr>
            <w:r>
              <w:rPr>
                <w:rFonts w:ascii="Arial" w:cs="Arial" w:eastAsia="Arial" w:hAnsi="Arial"/>
                <w:sz w:val="14"/>
                <w:szCs w:val="14"/>
                <w:b w:val="1"/>
                <w:bCs w:val="1"/>
                <w:color w:val="auto"/>
                <w:w w:val="89"/>
              </w:rPr>
              <w:t>2016</w:t>
            </w:r>
          </w:p>
        </w:tc>
        <w:tc>
          <w:tcPr>
            <w:tcW w:w="160" w:type="dxa"/>
            <w:vAlign w:val="bottom"/>
            <w:tcBorders>
              <w:bottom w:val="single" w:sz="8" w:color="CCEEFF"/>
            </w:tcBorders>
          </w:tcPr>
          <w:p>
            <w:pPr>
              <w:spacing w:after="0"/>
              <w:rPr>
                <w:sz w:val="12"/>
                <w:szCs w:val="12"/>
                <w:color w:val="auto"/>
              </w:rPr>
            </w:pPr>
          </w:p>
        </w:tc>
        <w:tc>
          <w:tcPr>
            <w:tcW w:w="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94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Operating expenses:</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ind w:left="2440"/>
              <w:spacing w:after="0"/>
              <w:rPr>
                <w:sz w:val="20"/>
                <w:szCs w:val="20"/>
                <w:color w:val="auto"/>
              </w:rPr>
            </w:pPr>
            <w:r>
              <w:rPr>
                <w:rFonts w:ascii="Arial" w:cs="Arial" w:eastAsia="Arial" w:hAnsi="Arial"/>
                <w:sz w:val="18"/>
                <w:szCs w:val="18"/>
                <w:color w:val="auto"/>
              </w:rPr>
              <w:t>Research and development</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7,779</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340"/>
              <w:spacing w:after="0"/>
              <w:rPr>
                <w:sz w:val="20"/>
                <w:szCs w:val="20"/>
                <w:color w:val="auto"/>
              </w:rPr>
            </w:pPr>
            <w:r>
              <w:rPr>
                <w:rFonts w:ascii="Arial" w:cs="Arial" w:eastAsia="Arial" w:hAnsi="Arial"/>
                <w:sz w:val="18"/>
                <w:szCs w:val="18"/>
                <w:color w:val="auto"/>
              </w:rPr>
              <w:t>9,377</w:t>
            </w:r>
          </w:p>
        </w:tc>
        <w:tc>
          <w:tcPr>
            <w:tcW w:w="220" w:type="dxa"/>
            <w:vAlign w:val="bottom"/>
            <w:gridSpan w:val="2"/>
          </w:tcPr>
          <w:p>
            <w:pPr>
              <w:jc w:val="right"/>
              <w:ind w:right="68"/>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29,519</w:t>
            </w:r>
          </w:p>
        </w:tc>
        <w:tc>
          <w:tcPr>
            <w:tcW w:w="100" w:type="dxa"/>
            <w:vAlign w:val="bottom"/>
          </w:tcPr>
          <w:p>
            <w:pPr>
              <w:spacing w:after="0"/>
              <w:rPr>
                <w:sz w:val="18"/>
                <w:szCs w:val="18"/>
                <w:color w:val="auto"/>
              </w:rPr>
            </w:pPr>
          </w:p>
        </w:tc>
        <w:tc>
          <w:tcPr>
            <w:tcW w:w="2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w w:val="98"/>
              </w:rPr>
              <w:t>33,014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ind w:left="2440"/>
              <w:spacing w:after="0"/>
              <w:rPr>
                <w:sz w:val="20"/>
                <w:szCs w:val="20"/>
                <w:color w:val="auto"/>
              </w:rPr>
            </w:pPr>
            <w:r>
              <w:rPr>
                <w:rFonts w:ascii="Arial" w:cs="Arial" w:eastAsia="Arial" w:hAnsi="Arial"/>
                <w:sz w:val="18"/>
                <w:szCs w:val="18"/>
                <w:color w:val="auto"/>
              </w:rPr>
              <w:t>General and administrative</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2,806</w:t>
            </w: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3,532</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12,001</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8"/>
              </w:rPr>
              <w:t>13,106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940" w:type="dxa"/>
            <w:vAlign w:val="bottom"/>
          </w:tcPr>
          <w:p>
            <w:pPr>
              <w:jc w:val="center"/>
              <w:ind w:left="4350"/>
              <w:spacing w:after="0"/>
              <w:rPr>
                <w:sz w:val="20"/>
                <w:szCs w:val="20"/>
                <w:color w:val="auto"/>
              </w:rPr>
            </w:pPr>
            <w:r>
              <w:rPr>
                <w:rFonts w:ascii="Arial" w:cs="Arial" w:eastAsia="Arial" w:hAnsi="Arial"/>
                <w:sz w:val="18"/>
                <w:szCs w:val="18"/>
                <w:color w:val="auto"/>
                <w:w w:val="88"/>
              </w:rPr>
              <w:t>Total operating expenses</w:t>
            </w:r>
          </w:p>
        </w:tc>
        <w:tc>
          <w:tcPr>
            <w:tcW w:w="8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10,585</w:t>
            </w:r>
          </w:p>
        </w:tc>
        <w:tc>
          <w:tcPr>
            <w:tcW w:w="2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12,909</w:t>
            </w:r>
          </w:p>
        </w:tc>
        <w:tc>
          <w:tcPr>
            <w:tcW w:w="34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41,520</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46,120</w:t>
            </w:r>
          </w:p>
        </w:tc>
        <w:tc>
          <w:tcPr>
            <w:tcW w:w="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Loss from operations</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(10,585)</w:t>
            </w: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(12,909)</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5"/>
              </w:rPr>
              <w:t>(41,520)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(46,120)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Interest expense</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rPr>
              <w:t>(395)</w:t>
            </w:r>
          </w:p>
        </w:tc>
        <w:tc>
          <w:tcPr>
            <w:tcW w:w="100" w:type="dxa"/>
            <w:vAlign w:val="bottom"/>
          </w:tcPr>
          <w:p>
            <w:pPr>
              <w:spacing w:after="0"/>
              <w:rPr>
                <w:sz w:val="18"/>
                <w:szCs w:val="18"/>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color w:val="auto"/>
              </w:rPr>
              <w:t>(5)</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(1,524)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(690)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89</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spacing w:after="0"/>
              <w:rPr>
                <w:sz w:val="20"/>
                <w:szCs w:val="20"/>
                <w:color w:val="auto"/>
              </w:rPr>
            </w:pPr>
            <w:r>
              <w:rPr>
                <w:rFonts w:ascii="Arial" w:cs="Arial" w:eastAsia="Arial" w:hAnsi="Arial"/>
                <w:sz w:val="18"/>
                <w:szCs w:val="18"/>
                <w:color w:val="auto"/>
              </w:rPr>
              <w:t>Other expense, net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8"/>
                <w:szCs w:val="18"/>
                <w:color w:val="auto"/>
              </w:rPr>
            </w:pPr>
          </w:p>
        </w:tc>
        <w:tc>
          <w:tcPr>
            <w:tcW w:w="1060" w:type="dxa"/>
            <w:vAlign w:val="bottom"/>
            <w:gridSpan w:val="2"/>
          </w:tcPr>
          <w:p>
            <w:pPr>
              <w:jc w:val="right"/>
              <w:ind w:right="340"/>
              <w:spacing w:after="0"/>
              <w:rPr>
                <w:sz w:val="20"/>
                <w:szCs w:val="20"/>
                <w:color w:val="auto"/>
              </w:rPr>
            </w:pPr>
            <w:r>
              <w:rPr>
                <w:rFonts w:ascii="Arial" w:cs="Arial" w:eastAsia="Arial" w:hAnsi="Arial"/>
                <w:sz w:val="18"/>
                <w:szCs w:val="18"/>
                <w:color w:val="auto"/>
              </w:rPr>
              <w:t>57</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186</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(374)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9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color w:val="auto"/>
              </w:rPr>
              <w:t>Net loss</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(10,893)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(12,768)</w:t>
            </w:r>
          </w:p>
        </w:tc>
        <w:tc>
          <w:tcPr>
            <w:tcW w:w="220" w:type="dxa"/>
            <w:vAlign w:val="bottom"/>
            <w:gridSpan w:val="2"/>
            <w:shd w:val="clear" w:color="auto" w:fill="CCEEFF"/>
          </w:tcPr>
          <w:p>
            <w:pPr>
              <w:jc w:val="right"/>
              <w:ind w:right="68"/>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5"/>
              </w:rPr>
              <w:t>(42,448)</w:t>
            </w:r>
          </w:p>
        </w:tc>
        <w:tc>
          <w:tcPr>
            <w:tcW w:w="10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(47,087)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960" w:type="dxa"/>
            <w:vAlign w:val="bottom"/>
            <w:gridSpan w:val="2"/>
            <w:vMerge w:val="restart"/>
          </w:tcPr>
          <w:p>
            <w:pPr>
              <w:spacing w:after="0"/>
              <w:rPr>
                <w:sz w:val="20"/>
                <w:szCs w:val="20"/>
                <w:color w:val="auto"/>
              </w:rPr>
            </w:pPr>
            <w:r>
              <w:rPr>
                <w:rFonts w:ascii="Arial" w:cs="Arial" w:eastAsia="Arial" w:hAnsi="Arial"/>
                <w:sz w:val="18"/>
                <w:szCs w:val="18"/>
                <w:color w:val="auto"/>
              </w:rPr>
              <w:t>Net loss per common share:</w:t>
            </w: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96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ind w:left="2440"/>
              <w:spacing w:after="0"/>
              <w:rPr>
                <w:sz w:val="20"/>
                <w:szCs w:val="20"/>
                <w:color w:val="auto"/>
              </w:rPr>
            </w:pPr>
            <w:r>
              <w:rPr>
                <w:rFonts w:ascii="Arial" w:cs="Arial" w:eastAsia="Arial" w:hAnsi="Arial"/>
                <w:sz w:val="18"/>
                <w:szCs w:val="18"/>
                <w:color w:val="auto"/>
              </w:rPr>
              <w:t>Basic and diluted</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(1.53)</w:t>
            </w:r>
          </w:p>
        </w:tc>
        <w:tc>
          <w:tcPr>
            <w:tcW w:w="220" w:type="dxa"/>
            <w:vAlign w:val="bottom"/>
            <w:gridSpan w:val="2"/>
            <w:shd w:val="clear" w:color="auto" w:fill="CCEEFF"/>
          </w:tcPr>
          <w:p>
            <w:pPr>
              <w:jc w:val="right"/>
              <w:ind w:right="68"/>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(4.86)</w:t>
            </w:r>
          </w:p>
        </w:tc>
        <w:tc>
          <w:tcPr>
            <w:tcW w:w="10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960" w:type="dxa"/>
            <w:vAlign w:val="bottom"/>
            <w:gridSpan w:val="2"/>
            <w:vMerge w:val="restart"/>
          </w:tcPr>
          <w:p>
            <w:pPr>
              <w:spacing w:after="0"/>
              <w:rPr>
                <w:sz w:val="20"/>
                <w:szCs w:val="20"/>
                <w:color w:val="auto"/>
              </w:rPr>
            </w:pPr>
            <w:r>
              <w:rPr>
                <w:rFonts w:ascii="Arial" w:cs="Arial" w:eastAsia="Arial" w:hAnsi="Arial"/>
                <w:sz w:val="18"/>
                <w:szCs w:val="18"/>
                <w:color w:val="auto"/>
              </w:rPr>
              <w:t>Shares used to compute net</w:t>
            </w: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960" w:type="dxa"/>
            <w:vAlign w:val="bottom"/>
            <w:gridSpan w:val="2"/>
            <w:vMerge w:val="continue"/>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940" w:type="dxa"/>
            <w:vAlign w:val="bottom"/>
          </w:tcPr>
          <w:p>
            <w:pPr>
              <w:ind w:left="160"/>
              <w:spacing w:after="0"/>
              <w:rPr>
                <w:sz w:val="20"/>
                <w:szCs w:val="20"/>
                <w:color w:val="auto"/>
              </w:rPr>
            </w:pPr>
            <w:r>
              <w:rPr>
                <w:rFonts w:ascii="Arial" w:cs="Arial" w:eastAsia="Arial" w:hAnsi="Arial"/>
                <w:sz w:val="18"/>
                <w:szCs w:val="18"/>
                <w:color w:val="auto"/>
              </w:rPr>
              <w:t>loss per common share:</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ind w:left="2440"/>
              <w:spacing w:after="0"/>
              <w:rPr>
                <w:sz w:val="20"/>
                <w:szCs w:val="20"/>
                <w:color w:val="auto"/>
              </w:rPr>
            </w:pPr>
            <w:r>
              <w:rPr>
                <w:rFonts w:ascii="Arial" w:cs="Arial" w:eastAsia="Arial" w:hAnsi="Arial"/>
                <w:sz w:val="18"/>
                <w:szCs w:val="18"/>
                <w:color w:val="auto"/>
              </w:rPr>
              <w:t>Basic and diluted</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9,799,328</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7"/>
              </w:rPr>
              <w:t>8,356,659</w:t>
            </w:r>
          </w:p>
        </w:tc>
        <w:tc>
          <w:tcPr>
            <w:tcW w:w="92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w w:val="99"/>
              </w:rPr>
              <w:t>8,727,935</w:t>
            </w:r>
          </w:p>
        </w:tc>
        <w:tc>
          <w:tcPr>
            <w:tcW w:w="100" w:type="dxa"/>
            <w:vAlign w:val="bottom"/>
            <w:shd w:val="clear" w:color="auto" w:fill="CCEEFF"/>
          </w:tcPr>
          <w:p>
            <w:pPr>
              <w:spacing w:after="0"/>
              <w:rPr>
                <w:sz w:val="18"/>
                <w:szCs w:val="18"/>
                <w:color w:val="auto"/>
              </w:rPr>
            </w:pPr>
          </w:p>
        </w:tc>
        <w:tc>
          <w:tcPr>
            <w:tcW w:w="9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6,007,027</w:t>
            </w: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vMerge w:val="restart"/>
          </w:tcPr>
          <w:p>
            <w:pPr>
              <w:jc w:val="center"/>
              <w:ind w:left="4350"/>
              <w:spacing w:after="0"/>
              <w:rPr>
                <w:sz w:val="20"/>
                <w:szCs w:val="20"/>
                <w:color w:val="auto"/>
              </w:rPr>
            </w:pPr>
            <w:r>
              <w:rPr>
                <w:rFonts w:ascii="Arial" w:cs="Arial" w:eastAsia="Arial" w:hAnsi="Arial"/>
                <w:sz w:val="18"/>
                <w:szCs w:val="18"/>
                <w:b w:val="1"/>
                <w:bCs w:val="1"/>
                <w:color w:val="auto"/>
                <w:w w:val="90"/>
              </w:rPr>
              <w:t>Eiger BioPharmaceuticals Inc.</w:t>
            </w: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4"/>
        </w:trPr>
        <w:tc>
          <w:tcPr>
            <w:tcW w:w="20" w:type="dxa"/>
            <w:vAlign w:val="bottom"/>
          </w:tcPr>
          <w:p>
            <w:pPr>
              <w:spacing w:after="0"/>
              <w:rPr>
                <w:sz w:val="24"/>
                <w:szCs w:val="24"/>
                <w:color w:val="auto"/>
              </w:rPr>
            </w:pPr>
          </w:p>
        </w:tc>
        <w:tc>
          <w:tcPr>
            <w:tcW w:w="694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8060" w:type="dxa"/>
            <w:vAlign w:val="bottom"/>
            <w:gridSpan w:val="5"/>
          </w:tcPr>
          <w:p>
            <w:pPr>
              <w:jc w:val="center"/>
              <w:ind w:left="3250"/>
              <w:spacing w:after="0"/>
              <w:rPr>
                <w:sz w:val="20"/>
                <w:szCs w:val="20"/>
                <w:color w:val="auto"/>
              </w:rPr>
            </w:pPr>
            <w:r>
              <w:rPr>
                <w:rFonts w:ascii="Arial" w:cs="Arial" w:eastAsia="Arial" w:hAnsi="Arial"/>
                <w:sz w:val="18"/>
                <w:szCs w:val="18"/>
                <w:b w:val="1"/>
                <w:bCs w:val="1"/>
                <w:color w:val="auto"/>
                <w:w w:val="88"/>
              </w:rPr>
              <w:t>Selected Balance Sheets Financial Data</w:t>
            </w: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jc w:val="center"/>
              <w:ind w:left="4350"/>
              <w:spacing w:after="0"/>
              <w:rPr>
                <w:sz w:val="20"/>
                <w:szCs w:val="20"/>
                <w:color w:val="auto"/>
              </w:rPr>
            </w:pPr>
            <w:r>
              <w:rPr>
                <w:rFonts w:ascii="Arial" w:cs="Arial" w:eastAsia="Arial" w:hAnsi="Arial"/>
                <w:sz w:val="18"/>
                <w:szCs w:val="18"/>
                <w:color w:val="auto"/>
                <w:w w:val="89"/>
              </w:rPr>
              <w:t>(in thousands)</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940" w:type="dxa"/>
            <w:vAlign w:val="bottom"/>
          </w:tcPr>
          <w:p>
            <w:pPr>
              <w:jc w:val="center"/>
              <w:ind w:left="4350"/>
              <w:spacing w:after="0"/>
              <w:rPr>
                <w:sz w:val="20"/>
                <w:szCs w:val="20"/>
                <w:color w:val="auto"/>
              </w:rPr>
            </w:pPr>
            <w:r>
              <w:rPr>
                <w:rFonts w:ascii="Arial" w:cs="Arial" w:eastAsia="Arial" w:hAnsi="Arial"/>
                <w:sz w:val="18"/>
                <w:szCs w:val="18"/>
                <w:color w:val="auto"/>
                <w:w w:val="90"/>
              </w:rPr>
              <w:t>(unaudited)</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9"/>
        </w:trPr>
        <w:tc>
          <w:tcPr>
            <w:tcW w:w="20" w:type="dxa"/>
            <w:vAlign w:val="bottom"/>
          </w:tcPr>
          <w:p>
            <w:pPr>
              <w:spacing w:after="0"/>
              <w:rPr>
                <w:sz w:val="24"/>
                <w:szCs w:val="24"/>
                <w:color w:val="auto"/>
              </w:rPr>
            </w:pPr>
          </w:p>
        </w:tc>
        <w:tc>
          <w:tcPr>
            <w:tcW w:w="6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40" w:type="dxa"/>
            <w:vAlign w:val="bottom"/>
            <w:gridSpan w:val="4"/>
          </w:tcPr>
          <w:p>
            <w:pPr>
              <w:jc w:val="right"/>
              <w:ind w:right="100"/>
              <w:spacing w:after="0"/>
              <w:rPr>
                <w:sz w:val="20"/>
                <w:szCs w:val="20"/>
                <w:color w:val="auto"/>
              </w:rPr>
            </w:pPr>
            <w:r>
              <w:rPr>
                <w:rFonts w:ascii="Arial" w:cs="Arial" w:eastAsia="Arial" w:hAnsi="Arial"/>
                <w:sz w:val="14"/>
                <w:szCs w:val="14"/>
                <w:b w:val="1"/>
                <w:bCs w:val="1"/>
                <w:color w:val="auto"/>
                <w:w w:val="90"/>
              </w:rPr>
              <w:t>December 31,</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gridSpan w:val="4"/>
          </w:tcPr>
          <w:p>
            <w:pPr>
              <w:jc w:val="right"/>
              <w:ind w:right="60"/>
              <w:spacing w:after="0"/>
              <w:rPr>
                <w:sz w:val="20"/>
                <w:szCs w:val="20"/>
                <w:color w:val="auto"/>
              </w:rPr>
            </w:pPr>
            <w:r>
              <w:rPr>
                <w:rFonts w:ascii="Arial" w:cs="Arial" w:eastAsia="Arial" w:hAnsi="Arial"/>
                <w:sz w:val="14"/>
                <w:szCs w:val="14"/>
                <w:b w:val="1"/>
                <w:bCs w:val="1"/>
                <w:color w:val="auto"/>
                <w:w w:val="90"/>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694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720" w:type="dxa"/>
            <w:vAlign w:val="bottom"/>
            <w:tcBorders>
              <w:bottom w:val="single" w:sz="8" w:color="CCEEFF"/>
            </w:tcBorders>
          </w:tcPr>
          <w:p>
            <w:pPr>
              <w:spacing w:after="0"/>
              <w:rPr>
                <w:sz w:val="14"/>
                <w:szCs w:val="14"/>
                <w:color w:val="auto"/>
              </w:rPr>
            </w:pPr>
          </w:p>
        </w:tc>
        <w:tc>
          <w:tcPr>
            <w:tcW w:w="22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720" w:type="dxa"/>
            <w:vAlign w:val="bottom"/>
            <w:tcBorders>
              <w:bottom w:val="single" w:sz="8" w:color="CCEEFF"/>
            </w:tcBorders>
          </w:tcPr>
          <w:p>
            <w:pPr>
              <w:spacing w:after="0"/>
              <w:rPr>
                <w:sz w:val="14"/>
                <w:szCs w:val="14"/>
                <w:color w:val="auto"/>
              </w:rPr>
            </w:pPr>
          </w:p>
        </w:tc>
        <w:tc>
          <w:tcPr>
            <w:tcW w:w="34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9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4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rPr>
              <w:t>2016</w:t>
            </w:r>
          </w:p>
        </w:tc>
        <w:tc>
          <w:tcPr>
            <w:tcW w:w="160" w:type="dxa"/>
            <w:vAlign w:val="bottom"/>
            <w:tcBorders>
              <w:bottom w:val="single" w:sz="8" w:color="auto"/>
            </w:tcBorders>
          </w:tcPr>
          <w:p>
            <w:pPr>
              <w:spacing w:after="0"/>
              <w:rPr>
                <w:sz w:val="14"/>
                <w:szCs w:val="14"/>
                <w:color w:val="auto"/>
              </w:rPr>
            </w:pPr>
          </w:p>
        </w:tc>
        <w:tc>
          <w:tcPr>
            <w:tcW w:w="6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94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Balance Sheet Data:</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60" w:type="dxa"/>
            <w:vAlign w:val="bottom"/>
            <w:gridSpan w:val="5"/>
          </w:tcPr>
          <w:p>
            <w:pPr>
              <w:ind w:left="4660"/>
              <w:spacing w:after="0"/>
              <w:rPr>
                <w:sz w:val="20"/>
                <w:szCs w:val="20"/>
                <w:color w:val="auto"/>
              </w:rPr>
            </w:pPr>
            <w:r>
              <w:rPr>
                <w:rFonts w:ascii="Arial" w:cs="Arial" w:eastAsia="Arial" w:hAnsi="Arial"/>
                <w:sz w:val="18"/>
                <w:szCs w:val="18"/>
                <w:color w:val="auto"/>
              </w:rPr>
              <w:t>Cash, cash equivalents and investments</w:t>
            </w: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3"/>
          </w:tcPr>
          <w:p>
            <w:pPr>
              <w:jc w:val="right"/>
              <w:ind w:right="100"/>
              <w:spacing w:after="0"/>
              <w:rPr>
                <w:sz w:val="20"/>
                <w:szCs w:val="20"/>
                <w:color w:val="auto"/>
              </w:rPr>
            </w:pPr>
            <w:r>
              <w:rPr>
                <w:rFonts w:ascii="Arial" w:cs="Arial" w:eastAsia="Arial" w:hAnsi="Arial"/>
                <w:sz w:val="18"/>
                <w:szCs w:val="18"/>
                <w:color w:val="auto"/>
              </w:rPr>
              <w:t>41,779</w:t>
            </w:r>
          </w:p>
        </w:tc>
        <w:tc>
          <w:tcPr>
            <w:tcW w:w="38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3"/>
          </w:tcPr>
          <w:p>
            <w:pPr>
              <w:jc w:val="right"/>
              <w:ind w:right="60"/>
              <w:spacing w:after="0"/>
              <w:rPr>
                <w:sz w:val="20"/>
                <w:szCs w:val="20"/>
                <w:color w:val="auto"/>
              </w:rPr>
            </w:pPr>
            <w:r>
              <w:rPr>
                <w:rFonts w:ascii="Arial" w:cs="Arial" w:eastAsia="Arial" w:hAnsi="Arial"/>
                <w:sz w:val="18"/>
                <w:szCs w:val="18"/>
                <w:color w:val="auto"/>
              </w:rPr>
              <w:t>59,936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ind w:left="4660"/>
              <w:spacing w:after="0"/>
              <w:rPr>
                <w:sz w:val="20"/>
                <w:szCs w:val="20"/>
                <w:color w:val="auto"/>
              </w:rPr>
            </w:pPr>
            <w:r>
              <w:rPr>
                <w:rFonts w:ascii="Arial" w:cs="Arial" w:eastAsia="Arial" w:hAnsi="Arial"/>
                <w:sz w:val="18"/>
                <w:szCs w:val="18"/>
                <w:color w:val="auto"/>
              </w:rPr>
              <w:t>Working capital</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35,222</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55,229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ind w:left="4660"/>
              <w:spacing w:after="0"/>
              <w:rPr>
                <w:sz w:val="20"/>
                <w:szCs w:val="20"/>
                <w:color w:val="auto"/>
              </w:rPr>
            </w:pPr>
            <w:r>
              <w:rPr>
                <w:rFonts w:ascii="Arial" w:cs="Arial" w:eastAsia="Arial" w:hAnsi="Arial"/>
                <w:sz w:val="18"/>
                <w:szCs w:val="18"/>
                <w:color w:val="auto"/>
              </w:rPr>
              <w:t>Total assets</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3"/>
          </w:tcPr>
          <w:p>
            <w:pPr>
              <w:jc w:val="right"/>
              <w:ind w:right="100"/>
              <w:spacing w:after="0"/>
              <w:rPr>
                <w:sz w:val="20"/>
                <w:szCs w:val="20"/>
                <w:color w:val="auto"/>
              </w:rPr>
            </w:pPr>
            <w:r>
              <w:rPr>
                <w:rFonts w:ascii="Arial" w:cs="Arial" w:eastAsia="Arial" w:hAnsi="Arial"/>
                <w:sz w:val="18"/>
                <w:szCs w:val="18"/>
                <w:color w:val="auto"/>
              </w:rPr>
              <w:t>42,882</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gridSpan w:val="3"/>
          </w:tcPr>
          <w:p>
            <w:pPr>
              <w:jc w:val="right"/>
              <w:ind w:right="60"/>
              <w:spacing w:after="0"/>
              <w:rPr>
                <w:sz w:val="20"/>
                <w:szCs w:val="20"/>
                <w:color w:val="auto"/>
              </w:rPr>
            </w:pPr>
            <w:r>
              <w:rPr>
                <w:rFonts w:ascii="Arial" w:cs="Arial" w:eastAsia="Arial" w:hAnsi="Arial"/>
                <w:sz w:val="18"/>
                <w:szCs w:val="18"/>
                <w:color w:val="auto"/>
              </w:rPr>
              <w:t>60,736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ind w:left="4660"/>
              <w:spacing w:after="0"/>
              <w:rPr>
                <w:sz w:val="20"/>
                <w:szCs w:val="20"/>
                <w:color w:val="auto"/>
              </w:rPr>
            </w:pPr>
            <w:r>
              <w:rPr>
                <w:rFonts w:ascii="Arial" w:cs="Arial" w:eastAsia="Arial" w:hAnsi="Arial"/>
                <w:sz w:val="18"/>
                <w:szCs w:val="18"/>
                <w:color w:val="auto"/>
              </w:rPr>
              <w:t>Total stockholders’ equity</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22,522</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40,721</w:t>
            </w:r>
          </w:p>
        </w:tc>
        <w:tc>
          <w:tcPr>
            <w:tcW w:w="0" w:type="dxa"/>
            <w:vAlign w:val="bottom"/>
          </w:tcPr>
          <w:p>
            <w:pPr>
              <w:spacing w:after="0"/>
              <w:rPr>
                <w:sz w:val="1"/>
                <w:szCs w:val="1"/>
                <w:color w:val="auto"/>
              </w:rPr>
            </w:pPr>
          </w:p>
        </w:tc>
      </w:tr>
    </w:tbl>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sectPr>
      <w:pgSz w:w="11900" w:h="16838" w:orient="portrait"/>
      <w:cols w:equalWidth="0" w:num="1">
        <w:col w:w="11420"/>
      </w:cols>
      <w:pgMar w:left="240" w:top="253"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 "/>
      <w:numFmt w:val="bullet"/>
      <w:start w:val="1"/>
    </w:lvl>
    <w:lvl w:ilvl="1">
      <w:lvlJc w:val="left"/>
      <w:lvlText w:val="•"/>
      <w:numFmt w:val="bullet"/>
      <w:start w:val="1"/>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
      <w:numFmt w:val="bullet"/>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
      <w:numFmt w:val="bullet"/>
      <w:start w:val="1"/>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2019-12-28T23:34:32Z</dcterms:created>
  <dcterms:modified xsi:type="dcterms:W3CDTF">2019-12-28T23:34:32Z</dcterms:modified>
</cp:coreProperties>
</file>