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954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95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2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2"/>
                </w:rPr>
                <w:t>Sachdev Amit</w:t>
              </w:r>
            </w:hyperlink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10"/>
          </w:tcPr>
          <w:p>
            <w:pPr>
              <w:spacing w:after="0" w:line="103" w:lineRule="exact"/>
              <w:rPr>
                <w:rFonts w:ascii="Arial" w:cs="Arial" w:eastAsia="Arial" w:hAnsi="Arial"/>
                <w:sz w:val="11"/>
                <w:szCs w:val="1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1"/>
                  <w:szCs w:val="11"/>
                  <w:color w:val="0000EE"/>
                </w:rPr>
                <w:t xml:space="preserve">Eiger BioPharmaceuticals, Inc. </w:t>
              </w:r>
            </w:hyperlink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[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EIGR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]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2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03/12/2020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EIGER BIOPHARMACEUTICALS, INC.</w:t>
            </w:r>
          </w:p>
        </w:tc>
        <w:tc>
          <w:tcPr>
            <w:tcW w:w="1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2155 PARK BLVD.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PALO ALTO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94306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7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03/12/2020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3"/>
              </w:rPr>
              <w:t>5,000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0.00</w:t>
            </w: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5,000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80" w:type="dxa"/>
            <w:vAlign w:val="bottom"/>
            <w:gridSpan w:val="17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5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5.6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03/12/2020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03/11/2030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10,000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6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10,000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shares underlying Restricted Stock Units award that will vest on the first anniversary of the grant date of March 12, 2020.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equal monthly installments over 12 months measured from March 12, 2020 subject to Reporting Person's continuous service status as of each such date.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Sriram Ryali, Attorney-in-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03/13/2020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96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06338" TargetMode="External"/><Relationship Id="rId13" Type="http://schemas.openxmlformats.org/officeDocument/2006/relationships/hyperlink" Target="http://www.sec.gov/cgi-bin/browse-edgar?action=getcompany&amp;CIK=000130525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2020-03-13T16:39:31Z</dcterms:created>
  <dcterms:modified xsi:type="dcterms:W3CDTF">2020-03-13T16:39:31Z</dcterms:modified>
</cp:coreProperties>
</file>