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15875</wp:posOffset>
            </wp:positionV>
            <wp:extent cx="7046595" cy="48234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82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Apelian David</w:t>
        </w:r>
      </w:hyperlink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350 CAMBRIDGE AVE #350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Eiger BioPharmaceuticals, Inc.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4"/>
          <w:szCs w:val="14"/>
          <w:color w:val="0000FF"/>
        </w:rPr>
        <w:t>EIGR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03/12/2020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right="620"/>
        <w:spacing w:after="0" w:line="238" w:lineRule="auto"/>
        <w:tabs>
          <w:tab w:leader="none" w:pos="14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0"/>
        <w:spacing w:after="0"/>
        <w:tabs>
          <w:tab w:leader="none" w:pos="499" w:val="left"/>
          <w:tab w:leader="none" w:pos="2059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jc w:val="right"/>
        <w:ind w:right="440"/>
        <w:spacing w:after="0"/>
        <w:tabs>
          <w:tab w:leader="none" w:pos="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0"/>
        <w:spacing w:after="0"/>
        <w:tabs>
          <w:tab w:leader="none" w:pos="2059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240" w:space="580"/>
            <w:col w:w="3340"/>
          </w:cols>
          <w:pgMar w:left="460" w:top="221" w:right="359" w:bottom="1440" w:gutter="0" w:footer="0" w:header="0"/>
          <w:type w:val="continuous"/>
        </w:sectPr>
      </w:pPr>
    </w:p>
    <w:p>
      <w:pPr>
        <w:spacing w:after="0" w:line="24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11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PALO ALTO</w:t>
            </w:r>
          </w:p>
        </w:tc>
        <w:tc>
          <w:tcPr>
            <w:tcW w:w="9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94306</w:t>
            </w: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18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7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1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5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8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03/12/2020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3"/>
              </w:rPr>
              <w:t>5,000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83"/>
                <w:vertAlign w:val="superscript"/>
              </w:rPr>
              <w:t>(1)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0.00</w:t>
            </w: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5,000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00" w:type="dxa"/>
            <w:vAlign w:val="bottom"/>
            <w:gridSpan w:val="12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5.6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03/12/2020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10,000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03/11/2030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10,000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6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10,000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Represents shares underlying Restricted Stock Units award that will vest on the first anniversary of the grant date of March 12, 2020.</w:t>
      </w:r>
    </w:p>
    <w:p>
      <w:pPr>
        <w:spacing w:after="0" w:line="43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option vests in equal monthly installments over 12 months measured from March 12, 2020 subject to Reporting Person's continuous service status as of each such date.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Sriram Ryali, Attorney-in-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03/13/2020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96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  <w:vMerge w:val="restart"/>
          </w:tcPr>
          <w:p>
            <w:pPr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Fact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546842" TargetMode="External"/><Relationship Id="rId13" Type="http://schemas.openxmlformats.org/officeDocument/2006/relationships/hyperlink" Target="http://www.sec.gov/cgi-bin/browse-edgar?action=getcompany&amp;CIK=000130525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2020-03-13T16:21:29Z</dcterms:created>
  <dcterms:modified xsi:type="dcterms:W3CDTF">2020-03-13T16:21:29Z</dcterms:modified>
</cp:coreProperties>
</file>